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A638A5">
      <w:pPr>
        <w:adjustRightInd w:val="0"/>
        <w:snapToGrid w:val="0"/>
        <w:spacing w:line="600" w:lineRule="exact"/>
        <w:rPr>
          <w:rFonts w:hint="eastAsia" w:ascii="方正黑体_GBK" w:hAnsi="方正黑体_GBK" w:eastAsia="方正黑体_GBK" w:cs="方正黑体_GBK"/>
          <w:sz w:val="44"/>
          <w:szCs w:val="44"/>
        </w:rPr>
      </w:pPr>
      <w:r>
        <w:rPr>
          <w:rFonts w:hint="eastAsia" w:ascii="方正黑体_GBK" w:hAnsi="方正黑体_GBK" w:eastAsia="方正黑体_GBK" w:cs="方正黑体_GBK"/>
          <w:sz w:val="32"/>
          <w:szCs w:val="32"/>
        </w:rPr>
        <w:t>附件</w:t>
      </w:r>
    </w:p>
    <w:p w14:paraId="30AE85E7">
      <w:pPr>
        <w:adjustRightInd w:val="0"/>
        <w:snapToGrid w:val="0"/>
        <w:spacing w:line="600" w:lineRule="exact"/>
        <w:jc w:val="center"/>
        <w:rPr>
          <w:rFonts w:hint="eastAsia" w:ascii="方正小标宋_GBK" w:eastAsia="方正小标宋_GBK"/>
          <w:sz w:val="44"/>
          <w:szCs w:val="44"/>
        </w:rPr>
      </w:pPr>
      <w:bookmarkStart w:id="0" w:name="_GoBack"/>
      <w:r>
        <w:rPr>
          <w:rFonts w:hint="eastAsia" w:ascii="方正小标宋_GBK" w:eastAsia="方正小标宋_GBK"/>
          <w:sz w:val="44"/>
          <w:szCs w:val="44"/>
        </w:rPr>
        <w:t>2024年药品监管科学科研计划项目</w:t>
      </w:r>
    </w:p>
    <w:p w14:paraId="169BB00F">
      <w:pPr>
        <w:adjustRightInd w:val="0"/>
        <w:snapToGrid w:val="0"/>
        <w:spacing w:line="600" w:lineRule="exact"/>
        <w:jc w:val="center"/>
        <w:rPr>
          <w:rFonts w:hint="eastAsia" w:ascii="方正小标宋_GBK" w:eastAsia="方正小标宋_GBK"/>
          <w:sz w:val="44"/>
          <w:szCs w:val="44"/>
        </w:rPr>
      </w:pPr>
      <w:r>
        <w:rPr>
          <w:rFonts w:hint="eastAsia" w:ascii="方正小标宋_GBK" w:eastAsia="方正小标宋_GBK"/>
          <w:sz w:val="44"/>
          <w:szCs w:val="44"/>
        </w:rPr>
        <w:t>立项清单</w:t>
      </w:r>
    </w:p>
    <w:bookmarkEnd w:id="0"/>
    <w:p w14:paraId="064CD192">
      <w:pPr>
        <w:adjustRightInd w:val="0"/>
        <w:snapToGrid w:val="0"/>
        <w:spacing w:line="600" w:lineRule="exact"/>
        <w:jc w:val="center"/>
        <w:rPr>
          <w:rFonts w:hint="eastAsia" w:ascii="方正小标宋_GBK" w:eastAsia="方正小标宋_GBK"/>
          <w:sz w:val="44"/>
          <w:szCs w:val="44"/>
        </w:rPr>
      </w:pPr>
    </w:p>
    <w:tbl>
      <w:tblPr>
        <w:tblStyle w:val="3"/>
        <w:tblW w:w="8978" w:type="dxa"/>
        <w:tblInd w:w="93"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20"/>
        <w:gridCol w:w="4641"/>
        <w:gridCol w:w="3517"/>
      </w:tblGrid>
      <w:tr w14:paraId="41505E1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dxa"/>
            <w:tcBorders>
              <w:bottom w:val="single" w:color="auto" w:sz="4" w:space="0"/>
              <w:right w:val="single" w:color="auto" w:sz="4" w:space="0"/>
            </w:tcBorders>
            <w:shd w:val="clear" w:color="auto" w:fill="auto"/>
            <w:vAlign w:val="center"/>
          </w:tcPr>
          <w:p w14:paraId="0621A617">
            <w:pPr>
              <w:widowControl/>
              <w:adjustRightInd w:val="0"/>
              <w:snapToGrid w:val="0"/>
              <w:spacing w:line="400" w:lineRule="exact"/>
              <w:jc w:val="center"/>
              <w:textAlignment w:val="center"/>
              <w:rPr>
                <w:color w:val="000000"/>
                <w:sz w:val="24"/>
                <w:szCs w:val="24"/>
              </w:rPr>
            </w:pPr>
            <w:r>
              <w:rPr>
                <w:rStyle w:val="5"/>
                <w:lang w:bidi="ar"/>
              </w:rPr>
              <w:t>序号</w:t>
            </w:r>
          </w:p>
        </w:tc>
        <w:tc>
          <w:tcPr>
            <w:tcW w:w="4641" w:type="dxa"/>
            <w:tcBorders>
              <w:left w:val="nil"/>
              <w:bottom w:val="single" w:color="auto" w:sz="4" w:space="0"/>
              <w:right w:val="single" w:color="auto" w:sz="4" w:space="0"/>
            </w:tcBorders>
            <w:shd w:val="clear" w:color="auto" w:fill="auto"/>
            <w:vAlign w:val="center"/>
          </w:tcPr>
          <w:p w14:paraId="34061E5E">
            <w:pPr>
              <w:widowControl/>
              <w:adjustRightInd w:val="0"/>
              <w:snapToGrid w:val="0"/>
              <w:spacing w:line="400" w:lineRule="exact"/>
              <w:jc w:val="center"/>
              <w:textAlignment w:val="center"/>
              <w:rPr>
                <w:color w:val="000000"/>
                <w:sz w:val="24"/>
                <w:szCs w:val="24"/>
              </w:rPr>
            </w:pPr>
            <w:r>
              <w:rPr>
                <w:rStyle w:val="5"/>
                <w:lang w:bidi="ar"/>
              </w:rPr>
              <w:t>项目名称</w:t>
            </w:r>
          </w:p>
        </w:tc>
        <w:tc>
          <w:tcPr>
            <w:tcW w:w="3517" w:type="dxa"/>
            <w:tcBorders>
              <w:left w:val="nil"/>
              <w:bottom w:val="single" w:color="auto" w:sz="4" w:space="0"/>
              <w:right w:val="single" w:color="auto" w:sz="4" w:space="0"/>
            </w:tcBorders>
            <w:shd w:val="clear" w:color="auto" w:fill="auto"/>
            <w:vAlign w:val="center"/>
          </w:tcPr>
          <w:p w14:paraId="66D97766">
            <w:pPr>
              <w:widowControl/>
              <w:adjustRightInd w:val="0"/>
              <w:snapToGrid w:val="0"/>
              <w:spacing w:line="400" w:lineRule="exact"/>
              <w:jc w:val="center"/>
              <w:textAlignment w:val="center"/>
              <w:rPr>
                <w:color w:val="000000"/>
                <w:sz w:val="24"/>
                <w:szCs w:val="24"/>
              </w:rPr>
            </w:pPr>
            <w:r>
              <w:rPr>
                <w:rStyle w:val="5"/>
                <w:lang w:bidi="ar"/>
              </w:rPr>
              <w:t>申报单位</w:t>
            </w:r>
          </w:p>
        </w:tc>
      </w:tr>
      <w:tr w14:paraId="1CB327D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820" w:type="dxa"/>
            <w:tcBorders>
              <w:top w:val="nil"/>
              <w:bottom w:val="single" w:color="auto" w:sz="4" w:space="0"/>
              <w:right w:val="single" w:color="auto" w:sz="4" w:space="0"/>
            </w:tcBorders>
            <w:shd w:val="clear" w:color="auto" w:fill="FFFFFF" w:themeFill="background1"/>
            <w:vAlign w:val="center"/>
          </w:tcPr>
          <w:p w14:paraId="430A8F9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1</w:t>
            </w:r>
          </w:p>
        </w:tc>
        <w:tc>
          <w:tcPr>
            <w:tcW w:w="4641" w:type="dxa"/>
            <w:tcBorders>
              <w:top w:val="nil"/>
              <w:left w:val="nil"/>
              <w:bottom w:val="single" w:color="auto" w:sz="4" w:space="0"/>
              <w:right w:val="single" w:color="auto" w:sz="4" w:space="0"/>
            </w:tcBorders>
            <w:shd w:val="clear" w:color="auto" w:fill="FFFFFF" w:themeFill="background1"/>
            <w:vAlign w:val="center"/>
          </w:tcPr>
          <w:p w14:paraId="3230E00E">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基于人工智能技术的创新药智能监管研究</w:t>
            </w:r>
          </w:p>
        </w:tc>
        <w:tc>
          <w:tcPr>
            <w:tcW w:w="3517" w:type="dxa"/>
            <w:tcBorders>
              <w:top w:val="nil"/>
              <w:left w:val="nil"/>
              <w:bottom w:val="single" w:color="auto" w:sz="4" w:space="0"/>
              <w:right w:val="single" w:color="auto" w:sz="4" w:space="0"/>
            </w:tcBorders>
            <w:shd w:val="clear" w:color="auto" w:fill="FFFFFF" w:themeFill="background1"/>
            <w:vAlign w:val="center"/>
          </w:tcPr>
          <w:p w14:paraId="16FB324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中国药科大学</w:t>
            </w:r>
          </w:p>
        </w:tc>
      </w:tr>
      <w:tr w14:paraId="72BA6E6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820" w:type="dxa"/>
            <w:tcBorders>
              <w:top w:val="nil"/>
              <w:bottom w:val="single" w:color="auto" w:sz="4" w:space="0"/>
              <w:right w:val="single" w:color="auto" w:sz="4" w:space="0"/>
            </w:tcBorders>
            <w:shd w:val="clear" w:color="auto" w:fill="FFFFFF" w:themeFill="background1"/>
            <w:vAlign w:val="center"/>
          </w:tcPr>
          <w:p w14:paraId="214BA68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2</w:t>
            </w:r>
          </w:p>
        </w:tc>
        <w:tc>
          <w:tcPr>
            <w:tcW w:w="4641" w:type="dxa"/>
            <w:tcBorders>
              <w:top w:val="nil"/>
              <w:left w:val="nil"/>
              <w:bottom w:val="single" w:color="auto" w:sz="4" w:space="0"/>
              <w:right w:val="single" w:color="auto" w:sz="4" w:space="0"/>
            </w:tcBorders>
            <w:shd w:val="clear" w:color="auto" w:fill="FFFFFF" w:themeFill="background1"/>
            <w:vAlign w:val="center"/>
          </w:tcPr>
          <w:p w14:paraId="0939FC0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新体制下完善药品安全责任体系建设研究</w:t>
            </w:r>
          </w:p>
        </w:tc>
        <w:tc>
          <w:tcPr>
            <w:tcW w:w="3517" w:type="dxa"/>
            <w:tcBorders>
              <w:top w:val="nil"/>
              <w:left w:val="nil"/>
              <w:bottom w:val="single" w:color="auto" w:sz="4" w:space="0"/>
              <w:right w:val="single" w:color="auto" w:sz="4" w:space="0"/>
            </w:tcBorders>
            <w:shd w:val="clear" w:color="auto" w:fill="FFFFFF" w:themeFill="background1"/>
            <w:vAlign w:val="center"/>
          </w:tcPr>
          <w:p w14:paraId="43068CF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中国药科大学药品监管科学</w:t>
            </w:r>
          </w:p>
          <w:p w14:paraId="14A62F1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研究院</w:t>
            </w:r>
          </w:p>
        </w:tc>
      </w:tr>
      <w:tr w14:paraId="770970B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2FFCCFD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3</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578038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基于模式动物斑马鱼的化妆品中激素类物质禁用原料生物检测平台构建</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D685AE9">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南京市产品质量监督检验院</w:t>
            </w:r>
          </w:p>
        </w:tc>
      </w:tr>
      <w:tr w14:paraId="5E6F912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5E949E3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4</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6F893F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可追溯的综合性农药筛查技术的建立及在中药质量风险评估中的应用</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784969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南京市食品药品监督检验院</w:t>
            </w:r>
          </w:p>
        </w:tc>
      </w:tr>
      <w:tr w14:paraId="57821E5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56"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5838AA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5</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843BE1E">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基于</w:t>
            </w:r>
            <w:r>
              <w:rPr>
                <w:rFonts w:ascii="方正仿宋_GBK" w:hAnsi="方正仿宋_GBK" w:eastAsia="方正仿宋_GBK" w:cs="方正仿宋_GBK"/>
                <w:color w:val="000000"/>
                <w:kern w:val="0"/>
                <w:sz w:val="24"/>
                <w:szCs w:val="24"/>
                <w:lang w:bidi="ar"/>
              </w:rPr>
              <w:t>“</w:t>
            </w:r>
            <w:r>
              <w:rPr>
                <w:rFonts w:hint="eastAsia" w:ascii="方正仿宋_GBK" w:hAnsi="方正仿宋_GBK" w:eastAsia="方正仿宋_GBK" w:cs="方正仿宋_GBK"/>
                <w:color w:val="000000"/>
                <w:kern w:val="0"/>
                <w:sz w:val="24"/>
                <w:szCs w:val="24"/>
                <w:lang w:bidi="ar"/>
              </w:rPr>
              <w:t>分子量和分子量分布</w:t>
            </w:r>
            <w:r>
              <w:rPr>
                <w:rFonts w:ascii="方正仿宋_GBK" w:hAnsi="方正仿宋_GBK" w:eastAsia="方正仿宋_GBK" w:cs="方正仿宋_GBK"/>
                <w:color w:val="000000"/>
                <w:kern w:val="0"/>
                <w:sz w:val="24"/>
                <w:szCs w:val="24"/>
                <w:lang w:bidi="ar"/>
              </w:rPr>
              <w:t>”</w:t>
            </w:r>
            <w:r>
              <w:rPr>
                <w:rFonts w:hint="eastAsia" w:ascii="方正仿宋_GBK" w:hAnsi="方正仿宋_GBK" w:eastAsia="方正仿宋_GBK" w:cs="方正仿宋_GBK"/>
                <w:color w:val="000000"/>
                <w:kern w:val="0"/>
                <w:sz w:val="24"/>
                <w:szCs w:val="24"/>
                <w:lang w:bidi="ar"/>
              </w:rPr>
              <w:t>的聚合物药用辅料的质控技术研究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A25DCBA">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南京工业大学</w:t>
            </w:r>
          </w:p>
        </w:tc>
      </w:tr>
      <w:tr w14:paraId="66AA403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25D168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6</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2D6322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基于</w:t>
            </w:r>
            <w:r>
              <w:rPr>
                <w:rFonts w:ascii="方正仿宋_GBK" w:hAnsi="方正仿宋_GBK" w:eastAsia="方正仿宋_GBK" w:cs="方正仿宋_GBK"/>
                <w:color w:val="000000"/>
                <w:kern w:val="0"/>
                <w:sz w:val="24"/>
                <w:szCs w:val="24"/>
                <w:lang w:bidi="ar"/>
              </w:rPr>
              <w:t>“</w:t>
            </w:r>
            <w:r>
              <w:rPr>
                <w:rFonts w:hint="eastAsia" w:ascii="方正仿宋_GBK" w:hAnsi="方正仿宋_GBK" w:eastAsia="方正仿宋_GBK" w:cs="方正仿宋_GBK"/>
                <w:color w:val="000000"/>
                <w:kern w:val="0"/>
                <w:sz w:val="24"/>
                <w:szCs w:val="24"/>
                <w:lang w:bidi="ar"/>
              </w:rPr>
              <w:t>谱</w:t>
            </w:r>
            <w:r>
              <w:rPr>
                <w:rFonts w:ascii="方正仿宋_GBK" w:hAnsi="方正仿宋_GBK" w:eastAsia="方正仿宋_GBK" w:cs="方正仿宋_GBK"/>
                <w:color w:val="000000"/>
                <w:kern w:val="0"/>
                <w:sz w:val="24"/>
                <w:szCs w:val="24"/>
                <w:lang w:bidi="ar"/>
              </w:rPr>
              <w:t>-</w:t>
            </w:r>
            <w:r>
              <w:rPr>
                <w:rFonts w:hint="eastAsia" w:ascii="方正仿宋_GBK" w:hAnsi="方正仿宋_GBK" w:eastAsia="方正仿宋_GBK" w:cs="方正仿宋_GBK"/>
                <w:color w:val="000000"/>
                <w:kern w:val="0"/>
                <w:sz w:val="24"/>
                <w:szCs w:val="24"/>
                <w:lang w:bidi="ar"/>
              </w:rPr>
              <w:t>毒</w:t>
            </w:r>
            <w:r>
              <w:rPr>
                <w:rFonts w:ascii="方正仿宋_GBK" w:hAnsi="方正仿宋_GBK" w:eastAsia="方正仿宋_GBK" w:cs="方正仿宋_GBK"/>
                <w:color w:val="000000"/>
                <w:kern w:val="0"/>
                <w:sz w:val="24"/>
                <w:szCs w:val="24"/>
                <w:lang w:bidi="ar"/>
              </w:rPr>
              <w:t>”</w:t>
            </w:r>
            <w:r>
              <w:rPr>
                <w:rFonts w:hint="eastAsia" w:ascii="方正仿宋_GBK" w:hAnsi="方正仿宋_GBK" w:eastAsia="方正仿宋_GBK" w:cs="方正仿宋_GBK"/>
                <w:color w:val="000000"/>
                <w:kern w:val="0"/>
                <w:sz w:val="24"/>
                <w:szCs w:val="24"/>
                <w:lang w:bidi="ar"/>
              </w:rPr>
              <w:t>关系监测技术进行含蒽醌类中药风险评估和质量控制技术研究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60DA2F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南京工业大学</w:t>
            </w:r>
          </w:p>
        </w:tc>
      </w:tr>
      <w:tr w14:paraId="31B106F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F7FA2F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7</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70D994E">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可快速定量检测化妆品中抗生素非法添加的SERS增强芯片试剂盒的开发</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66B503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无锡市检验检测认证研究院</w:t>
            </w:r>
          </w:p>
        </w:tc>
      </w:tr>
      <w:tr w14:paraId="137947F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2828778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8</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10F2F9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单克隆抗体偶联药物质量研究及标准检测方法的建立</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515CE8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南京市计量监督检测院</w:t>
            </w:r>
          </w:p>
        </w:tc>
      </w:tr>
      <w:tr w14:paraId="299CFCD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56D32B7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9</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1D5D098">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基于</w:t>
            </w:r>
            <w:r>
              <w:rPr>
                <w:rFonts w:ascii="方正仿宋_GBK" w:hAnsi="方正仿宋_GBK" w:eastAsia="方正仿宋_GBK" w:cs="方正仿宋_GBK"/>
                <w:color w:val="000000"/>
                <w:kern w:val="0"/>
                <w:sz w:val="24"/>
                <w:szCs w:val="24"/>
                <w:lang w:bidi="ar"/>
              </w:rPr>
              <w:t>DNA metabarcoding</w:t>
            </w:r>
            <w:r>
              <w:rPr>
                <w:rFonts w:hint="eastAsia" w:ascii="方正仿宋_GBK" w:hAnsi="方正仿宋_GBK" w:eastAsia="方正仿宋_GBK" w:cs="方正仿宋_GBK"/>
                <w:color w:val="000000"/>
                <w:kern w:val="0"/>
                <w:sz w:val="24"/>
                <w:szCs w:val="24"/>
                <w:lang w:bidi="ar"/>
              </w:rPr>
              <w:t>技术的中成药蛤蚧定喘丸处方成分鉴定研究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4651B7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泰州市药品检验院</w:t>
            </w:r>
          </w:p>
        </w:tc>
      </w:tr>
      <w:tr w14:paraId="754A891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84E22F9">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10</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9EE8A9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发酵类中药材、饮片及其制剂中真菌毒素快速检测技术研究及安全风险评估</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C1FB9F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淮安市食品药品检验所</w:t>
            </w:r>
          </w:p>
        </w:tc>
      </w:tr>
      <w:tr w14:paraId="1F04722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1312C1F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11</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75470ED">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高分子药用辅料海藻酸钠关键质量属性表征与构效关系研究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BF98AED">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江苏省食品药品监督检验研究院</w:t>
            </w:r>
          </w:p>
        </w:tc>
      </w:tr>
      <w:tr w14:paraId="5F298F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E3061F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1</w:t>
            </w:r>
            <w:r>
              <w:rPr>
                <w:rFonts w:hint="eastAsia" w:ascii="方正仿宋_GBK" w:hAnsi="方正仿宋_GBK" w:eastAsia="方正仿宋_GBK" w:cs="方正仿宋_GBK"/>
                <w:color w:val="000000"/>
                <w:kern w:val="0"/>
                <w:sz w:val="24"/>
                <w:szCs w:val="24"/>
                <w:lang w:bidi="ar"/>
              </w:rPr>
              <w:t>2</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B3C84E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创新型单抗药物结构表征的通用UPLC-MS方法开发及应用</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8BDA83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苏州市药品检验检测研究中心</w:t>
            </w:r>
          </w:p>
        </w:tc>
      </w:tr>
      <w:tr w14:paraId="2A45EF3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4"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F175EA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13</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89CAAC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一种用于检测中药注射剂所致类过敏反应的人源化小鼠模型的构建和应用</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760E78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镇江市食品药品监督检验中心</w:t>
            </w:r>
          </w:p>
        </w:tc>
      </w:tr>
      <w:tr w14:paraId="3E92167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7F278FC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14</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3D157A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基于体外抗炎活性谱效关系的炎热清制剂质量评价研究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E7A6E9E">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南京市食品药品监督检验院</w:t>
            </w:r>
          </w:p>
        </w:tc>
      </w:tr>
      <w:tr w14:paraId="3FE34C1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5275398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15</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6DFEFC8">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基于平行人工膜体外渗透技术的固体口服制剂生物等效性评价与研究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C74E07A">
            <w:pPr>
              <w:widowControl/>
              <w:adjustRightInd w:val="0"/>
              <w:snapToGrid w:val="0"/>
              <w:spacing w:line="400" w:lineRule="exact"/>
              <w:jc w:val="center"/>
              <w:textAlignment w:val="center"/>
              <w:rPr>
                <w:rFonts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江苏省食品药品监督</w:t>
            </w:r>
          </w:p>
          <w:p w14:paraId="202AC76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检验研究院</w:t>
            </w:r>
          </w:p>
        </w:tc>
      </w:tr>
      <w:tr w14:paraId="161C3A9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AA7CE3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16</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A5A08B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一点红及其复方制剂中吡咯里西啶生物碱的检测及风险评价</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D5ACE1E">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江苏省徐州医药高等职业学校</w:t>
            </w:r>
          </w:p>
        </w:tc>
      </w:tr>
      <w:tr w14:paraId="7566856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5667D61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17</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5F62DD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中西药复方制剂感冒清胶囊质量分析与风险研究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5D04BB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南京市食品药品监督检验院</w:t>
            </w:r>
          </w:p>
        </w:tc>
      </w:tr>
      <w:tr w14:paraId="3A1CE5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5503087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18</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249D9A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制药用水污染微生物检测和控制研究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84F954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江苏省食品药品监督检验研究院</w:t>
            </w:r>
          </w:p>
        </w:tc>
      </w:tr>
      <w:tr w14:paraId="1FBFDE9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EC6D70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19</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282BB2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清洁验证中基于化药的活性物质残留限度标准探讨与应用研究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093F5C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江苏省药品监督管理局审核查验中心</w:t>
            </w:r>
          </w:p>
        </w:tc>
      </w:tr>
      <w:tr w14:paraId="618920C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12BE85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20</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153CD9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单克隆抗体生物制剂热原物质检测替代方法研究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F6E195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江苏省食品药品</w:t>
            </w:r>
          </w:p>
          <w:p w14:paraId="70625868">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监督检验研究院</w:t>
            </w:r>
          </w:p>
        </w:tc>
      </w:tr>
      <w:tr w14:paraId="5A1DE66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0A745CC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21</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EB6C98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基于</w:t>
            </w:r>
            <w:r>
              <w:rPr>
                <w:rFonts w:ascii="方正仿宋_GBK" w:hAnsi="方正仿宋_GBK" w:eastAsia="方正仿宋_GBK" w:cs="方正仿宋_GBK"/>
                <w:color w:val="000000"/>
                <w:kern w:val="0"/>
                <w:sz w:val="24"/>
                <w:szCs w:val="24"/>
                <w:lang w:bidi="ar"/>
              </w:rPr>
              <w:t xml:space="preserve">UPLC-TOF-MS/MS </w:t>
            </w:r>
            <w:r>
              <w:rPr>
                <w:rFonts w:hint="eastAsia" w:ascii="方正仿宋_GBK" w:hAnsi="方正仿宋_GBK" w:eastAsia="方正仿宋_GBK" w:cs="方正仿宋_GBK"/>
                <w:color w:val="000000"/>
                <w:kern w:val="0"/>
                <w:sz w:val="24"/>
                <w:szCs w:val="24"/>
                <w:lang w:bidi="ar"/>
              </w:rPr>
              <w:t>特征谱结合化学模式识别的中药五加皮混/伪品鉴别研究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0BC4ADD">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常州市食品药品纤维质量监督检验中心</w:t>
            </w:r>
          </w:p>
        </w:tc>
      </w:tr>
      <w:tr w14:paraId="38163A9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0D608A9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22</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ED1A23A">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基于超临界流体色谱法的脂溶性维生素类制剂的质量研究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5E57D2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泰州市药品检验院</w:t>
            </w:r>
          </w:p>
        </w:tc>
      </w:tr>
      <w:tr w14:paraId="33FB350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020C914E">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23</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A5F47E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基于液质联用技术对浙贝母制剂中掺伪湖北贝母投料的质量控制及风险评估研究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EE525A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常州市食品药品纤维质量监督检验中心</w:t>
            </w:r>
          </w:p>
        </w:tc>
      </w:tr>
      <w:tr w14:paraId="790F2FC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7F61706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24</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5A0467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股骨颈动力交叉钉系统治疗股骨颈骨折中远期疗效研究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F3A926D">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江苏省徐州医药高等职业学校</w:t>
            </w:r>
          </w:p>
        </w:tc>
      </w:tr>
      <w:tr w14:paraId="27B8DFF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438254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2</w:t>
            </w:r>
            <w:r>
              <w:rPr>
                <w:rFonts w:hint="eastAsia" w:ascii="方正仿宋_GBK" w:hAnsi="方正仿宋_GBK" w:eastAsia="方正仿宋_GBK" w:cs="方正仿宋_GBK"/>
                <w:color w:val="000000"/>
                <w:kern w:val="0"/>
                <w:sz w:val="24"/>
                <w:szCs w:val="24"/>
                <w:lang w:bidi="ar"/>
              </w:rPr>
              <w:t>5</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ADEDBB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基于体外细胞水平的医疗器械生物相容性评价新型方法研究及应用</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8CEDDA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南京市计量监督检测院</w:t>
            </w:r>
          </w:p>
        </w:tc>
      </w:tr>
      <w:tr w14:paraId="59CDC10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5B639E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26</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8F6D16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强脉冲光治疗仪量值溯源技术研究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7DB4F9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江苏省计量科学研究院（江苏省能源计量数据中心）</w:t>
            </w:r>
          </w:p>
        </w:tc>
      </w:tr>
      <w:tr w14:paraId="79E1DD4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5F9DDEB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27</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F698249">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超声测温技术的精度检测方法研究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1BC238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江苏省医疗器械检验所</w:t>
            </w:r>
          </w:p>
        </w:tc>
      </w:tr>
      <w:tr w14:paraId="0BFD86D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D31420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28</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3CC32F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化学发光检测中清洗液关键组分盐类的筛选及优化平台的建立</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28B39F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江苏省医疗器械检验所</w:t>
            </w:r>
          </w:p>
        </w:tc>
      </w:tr>
      <w:tr w14:paraId="3661EC0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729E03FA">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29</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03737AE">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基于虚拟现实技术的数字疗法医疗器械质量评价的研究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359470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江苏省医疗器械检验所</w:t>
            </w:r>
          </w:p>
        </w:tc>
      </w:tr>
      <w:tr w14:paraId="0F9B746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2288C5B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30</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804859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用于治疗骨性III类错合畸形的新型3D打印前方牵引装置的研发和应用</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35203A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南京市口腔医院</w:t>
            </w:r>
          </w:p>
        </w:tc>
      </w:tr>
      <w:tr w14:paraId="5F77206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EFF785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31</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110D78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医疗器械警戒背景下医疗器械不良事件患者直报模式研究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5DF7D8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盐城市食品</w:t>
            </w:r>
            <w:r>
              <w:rPr>
                <w:rFonts w:hint="eastAsia" w:ascii="方正仿宋_GBK" w:hAnsi="方正仿宋_GBK" w:eastAsia="方正仿宋_GBK" w:cs="方正仿宋_GBK"/>
                <w:color w:val="000000"/>
                <w:kern w:val="0"/>
                <w:sz w:val="24"/>
                <w:szCs w:val="24"/>
                <w:lang w:bidi="ar"/>
              </w:rPr>
              <w:t>药品</w:t>
            </w:r>
            <w:r>
              <w:rPr>
                <w:rFonts w:ascii="方正仿宋_GBK" w:hAnsi="方正仿宋_GBK" w:eastAsia="方正仿宋_GBK" w:cs="方正仿宋_GBK"/>
                <w:color w:val="000000"/>
                <w:kern w:val="0"/>
                <w:sz w:val="24"/>
                <w:szCs w:val="24"/>
                <w:lang w:bidi="ar"/>
              </w:rPr>
              <w:t>监督检验中心</w:t>
            </w:r>
          </w:p>
        </w:tc>
      </w:tr>
      <w:tr w14:paraId="20C53CB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81"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278960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32</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2DF307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基于真实世界的吻合器类医疗器械不良事件监测方法的研究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C3305E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南京市食品药品监督检验院</w:t>
            </w:r>
          </w:p>
        </w:tc>
      </w:tr>
      <w:tr w14:paraId="401EA96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6940257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33</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9410AC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Ago技术快速准确检测化妆品中的多重致病菌</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B27D71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镇江市食品药品监督检验中心</w:t>
            </w:r>
          </w:p>
        </w:tc>
      </w:tr>
      <w:tr w14:paraId="44873B1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0E137F8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34</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662E3F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化妆品中高风险微生物快速检测技术研究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1CB4A4D">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江苏省食品药品监督检验研究院</w:t>
            </w:r>
          </w:p>
        </w:tc>
      </w:tr>
      <w:tr w14:paraId="6A3CA31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12A1D1F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3</w:t>
            </w:r>
            <w:r>
              <w:rPr>
                <w:rFonts w:hint="eastAsia" w:ascii="方正仿宋_GBK" w:hAnsi="方正仿宋_GBK" w:eastAsia="方正仿宋_GBK" w:cs="方正仿宋_GBK"/>
                <w:color w:val="000000"/>
                <w:kern w:val="0"/>
                <w:sz w:val="24"/>
                <w:szCs w:val="24"/>
                <w:lang w:bidi="ar"/>
              </w:rPr>
              <w:t>5</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049C81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基于液相色谱四极杆-静电场轨道阱高分辨质谱建立去屑类发用产品中风险物质快速筛查检测方法的研究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C3995C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南京市食品药品监督检验院</w:t>
            </w:r>
          </w:p>
        </w:tc>
      </w:tr>
      <w:tr w14:paraId="020EB12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5F70C82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36</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4ADE09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基于氢化物原子荧光光谱</w:t>
            </w:r>
            <w:r>
              <w:rPr>
                <w:rFonts w:ascii="方正仿宋_GBK" w:hAnsi="方正仿宋_GBK" w:eastAsia="方正仿宋_GBK" w:cs="方正仿宋_GBK"/>
                <w:color w:val="000000"/>
                <w:kern w:val="0"/>
                <w:sz w:val="24"/>
                <w:szCs w:val="24"/>
                <w:lang w:bidi="ar"/>
              </w:rPr>
              <w:t>-液相色谱联用法研究彩妆类化妆品中重金属及其形态</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4F0B97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泰州市药品检验院</w:t>
            </w:r>
          </w:p>
        </w:tc>
      </w:tr>
      <w:tr w14:paraId="46D26D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150F777A">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37</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8BD434E">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化妆品技术核查风险管理工作机制研究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B80FF1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苏州市药品检验检测研究中心</w:t>
            </w:r>
          </w:p>
        </w:tc>
      </w:tr>
      <w:tr w14:paraId="4D8CD2A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0D3B89E">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38</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E60B92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气相色谱-质谱联用法同时测定化妆品中28种香料含量的检测方法研究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CDD5768">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南京市产品质量监督检验院（南京市质量发展与先进技术应用研究院）</w:t>
            </w:r>
          </w:p>
        </w:tc>
      </w:tr>
      <w:tr w14:paraId="4AE69DB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318"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9BBFB1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39</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C4E690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化妆品包装材料中风险物质检测及迁移规律研究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22A64A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南京市产品质量监督检验院（南京市质量发展与先进技术应用研究院）</w:t>
            </w:r>
          </w:p>
        </w:tc>
      </w:tr>
      <w:tr w14:paraId="0F2974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F8F489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40</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6368A9A">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辅助生殖类无源医疗器械注册现状及监管策略研究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E22C3B9">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江苏省药品监督管理局审评中心</w:t>
            </w:r>
          </w:p>
        </w:tc>
      </w:tr>
      <w:tr w14:paraId="2E877A7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5AB5926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41</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98CEE69">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肺结节定位丝及导引针技术审评指南研究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00B711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江苏省药品监督管理局审评中心</w:t>
            </w:r>
          </w:p>
        </w:tc>
      </w:tr>
      <w:tr w14:paraId="3847F17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2E472BE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42</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C74D3D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基于虚拟现实技术的药品检查员实训研究——以生物等效性临床试验检查为例</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63FA5A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江苏省药品监督管理局审核查验中心</w:t>
            </w:r>
          </w:p>
        </w:tc>
      </w:tr>
      <w:tr w14:paraId="41D6BCF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6D6E66FD">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4</w:t>
            </w:r>
            <w:r>
              <w:rPr>
                <w:rFonts w:hint="eastAsia" w:ascii="方正仿宋_GBK" w:hAnsi="方正仿宋_GBK" w:eastAsia="方正仿宋_GBK" w:cs="方正仿宋_GBK"/>
                <w:color w:val="000000"/>
                <w:kern w:val="0"/>
                <w:sz w:val="24"/>
                <w:szCs w:val="24"/>
                <w:lang w:bidi="ar"/>
              </w:rPr>
              <w:t>3</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284C85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3D打印手术导板类医疗器械风险研究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431F13A">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江苏省药品监督管理局审评中心</w:t>
            </w:r>
          </w:p>
        </w:tc>
      </w:tr>
      <w:tr w14:paraId="69FCD27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63FE909">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44</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6105B5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构建创新医疗器械综合数据服务模式的探索研究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24A131D">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江苏省药品监督管理局审评中心</w:t>
            </w:r>
          </w:p>
        </w:tc>
      </w:tr>
      <w:tr w14:paraId="2E58229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6B89908">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45</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9024D8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细胞因子检测试剂（流式荧光免疫法）注册要求和审评关注点</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CAB12D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江苏省药品监督管理局审评中心</w:t>
            </w:r>
          </w:p>
        </w:tc>
      </w:tr>
      <w:tr w14:paraId="40DBD1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4"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294FC62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46</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F3B414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定制式义齿增材制造外协加工审评及监管相关问题研究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FB88EA9">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江苏省药品监督管理局审评中心</w:t>
            </w:r>
          </w:p>
        </w:tc>
      </w:tr>
      <w:tr w14:paraId="2F99A0D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2FEABC19">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47</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0EC703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新法规体系下原料药上市后监管典型问题及科学监管对策研究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E946B1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中国药科大学药品监管科学研究院</w:t>
            </w:r>
          </w:p>
        </w:tc>
      </w:tr>
      <w:tr w14:paraId="69602A1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78D152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48</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596E36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医疗机构应用传统工艺配制中药制剂备案的技术审查要点研究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E9290D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江苏省药品监督管理局审评</w:t>
            </w:r>
            <w:r>
              <w:rPr>
                <w:rFonts w:hint="eastAsia" w:ascii="方正仿宋_GBK" w:hAnsi="方正仿宋_GBK" w:eastAsia="方正仿宋_GBK" w:cs="方正仿宋_GBK"/>
                <w:color w:val="000000"/>
                <w:kern w:val="0"/>
                <w:sz w:val="24"/>
                <w:szCs w:val="24"/>
                <w:lang w:bidi="ar"/>
              </w:rPr>
              <w:t>核查南京分</w:t>
            </w:r>
            <w:r>
              <w:rPr>
                <w:rFonts w:ascii="方正仿宋_GBK" w:hAnsi="方正仿宋_GBK" w:eastAsia="方正仿宋_GBK" w:cs="方正仿宋_GBK"/>
                <w:color w:val="000000"/>
                <w:kern w:val="0"/>
                <w:sz w:val="24"/>
                <w:szCs w:val="24"/>
                <w:lang w:bidi="ar"/>
              </w:rPr>
              <w:t>中心</w:t>
            </w:r>
          </w:p>
        </w:tc>
      </w:tr>
      <w:tr w14:paraId="70BEDD4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6BCA8E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49</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3D25698">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核酸扩增类产品注册现状及监管策略研究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774EDD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江苏省药品监督管理局审评中心</w:t>
            </w:r>
          </w:p>
        </w:tc>
      </w:tr>
      <w:tr w14:paraId="2942414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5AE0243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50</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6BAF35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疫苗创新治理效能的评价与提升研究——基于江苏省的实证研究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C0F7DF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中国药科大学药品监管科学研究院</w:t>
            </w:r>
          </w:p>
        </w:tc>
      </w:tr>
      <w:tr w14:paraId="64E8B49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A700FC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51</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7A0FA7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基于利益相关者理论简化我国OTC上市路径的探索研究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23FB30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中国药科大学</w:t>
            </w:r>
          </w:p>
        </w:tc>
      </w:tr>
      <w:tr w14:paraId="1E8B045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8"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0AA1703D">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52</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0F1949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江苏省县域医共体内医疗机构制剂调剂简化审批研究——基于行政负担视角</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0A2186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中国药科大学</w:t>
            </w:r>
          </w:p>
        </w:tc>
      </w:tr>
      <w:tr w14:paraId="7BD56F5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27"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24F4B0E9">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53</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0832FA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基于2D-HPLC-Q-TOF-MS/MS技术的达格列净制剂杂质谱分析系统的构建与应用</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3307F5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江苏省食品药品监督检验研究院</w:t>
            </w:r>
          </w:p>
        </w:tc>
      </w:tr>
      <w:tr w14:paraId="6EE60D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271F95E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54</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03B56A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谷类发芽类中药材中致癌物硫脲的高通量筛查体系的建立及应用</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FFFF1C0">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盐城市食品</w:t>
            </w:r>
            <w:r>
              <w:rPr>
                <w:rFonts w:hint="eastAsia" w:ascii="方正仿宋_GBK" w:hAnsi="方正仿宋_GBK" w:eastAsia="方正仿宋_GBK" w:cs="方正仿宋_GBK"/>
                <w:color w:val="000000"/>
                <w:kern w:val="0"/>
                <w:sz w:val="24"/>
                <w:szCs w:val="24"/>
                <w:lang w:bidi="ar"/>
              </w:rPr>
              <w:t>药品</w:t>
            </w:r>
            <w:r>
              <w:rPr>
                <w:rFonts w:ascii="方正仿宋_GBK" w:hAnsi="方正仿宋_GBK" w:eastAsia="方正仿宋_GBK" w:cs="方正仿宋_GBK"/>
                <w:color w:val="000000"/>
                <w:kern w:val="0"/>
                <w:sz w:val="24"/>
                <w:szCs w:val="24"/>
                <w:lang w:bidi="ar"/>
              </w:rPr>
              <w:t>监督检验中心</w:t>
            </w:r>
          </w:p>
        </w:tc>
      </w:tr>
      <w:tr w14:paraId="25CE12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78E3238">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55</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45EE3C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水分活度在中药质量控制中的应用研究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C3D198D">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无锡市药品安全检验检测中心</w:t>
            </w:r>
          </w:p>
        </w:tc>
      </w:tr>
      <w:tr w14:paraId="713301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52A3C68A">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56</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FE4B4B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移动超声测量装置的研究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9EF323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江苏省医疗器械检验所</w:t>
            </w:r>
          </w:p>
        </w:tc>
      </w:tr>
      <w:tr w14:paraId="51296F0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147BA2B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57</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6EF1EE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江苏省定性检测体外诊断试剂技术审评要点研究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EA0D7E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江苏省药品监督管理局审评中心</w:t>
            </w:r>
          </w:p>
        </w:tc>
      </w:tr>
      <w:tr w14:paraId="4C5292D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1D3F5F7A">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58</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AFFAA8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碳酸镧原料药元素杂质质量标准的研究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8CEFE38">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无锡市药品安全检验检测中心</w:t>
            </w:r>
          </w:p>
        </w:tc>
      </w:tr>
      <w:tr w14:paraId="195E55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93CAB83">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59</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7A7B67F">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基于多维度质谱技术的山药及其近缘品种快速鉴别方法开发及应用研究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639674E">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苏州市药品检验检测研究中心</w:t>
            </w:r>
          </w:p>
        </w:tc>
      </w:tr>
      <w:tr w14:paraId="089D219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12C7AB0A">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60</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D59231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基于气相串联质谱法对化妆品中非邻苯类塑化剂的检测技术研究及应用</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D80CF0C">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南京市食品药品监督检验院</w:t>
            </w:r>
          </w:p>
        </w:tc>
      </w:tr>
      <w:tr w14:paraId="47281A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422E7478">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61</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FAB60E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基于质谱联用技术对牙膏的安全性研究及风险评估</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502BA0E">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淮安市食品药品检验所</w:t>
            </w:r>
          </w:p>
        </w:tc>
      </w:tr>
      <w:tr w14:paraId="384525F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F5AE9B6">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62</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C73599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国产普通化妆品</w:t>
            </w:r>
            <w:r>
              <w:rPr>
                <w:rFonts w:hint="eastAsia" w:ascii="方正仿宋_GBK" w:hAnsi="方正仿宋_GBK" w:eastAsia="方正仿宋_GBK" w:cs="方正仿宋_GBK"/>
                <w:color w:val="000000"/>
                <w:kern w:val="0"/>
                <w:sz w:val="24"/>
                <w:szCs w:val="24"/>
                <w:lang w:bidi="ar"/>
              </w:rPr>
              <w:t>备案</w:t>
            </w:r>
            <w:r>
              <w:rPr>
                <w:rFonts w:ascii="方正仿宋_GBK" w:hAnsi="方正仿宋_GBK" w:eastAsia="方正仿宋_GBK" w:cs="方正仿宋_GBK"/>
                <w:color w:val="000000"/>
                <w:kern w:val="0"/>
                <w:sz w:val="24"/>
                <w:szCs w:val="24"/>
                <w:lang w:bidi="ar"/>
              </w:rPr>
              <w:t>功效宣称用语规范化研究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E60D981">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苏州市药品检验检测研究中心</w:t>
            </w:r>
          </w:p>
        </w:tc>
      </w:tr>
      <w:tr w14:paraId="67D1175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3DD06C6D">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63</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5613265">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药食同源红曲的质量安全评价研究</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133A8B4">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江苏省食品药品监督检验研究院</w:t>
            </w:r>
          </w:p>
        </w:tc>
      </w:tr>
      <w:tr w14:paraId="4ED4D02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55FE3EE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64</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70901A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化妆品中</w:t>
            </w:r>
            <w:r>
              <w:rPr>
                <w:rFonts w:ascii="方正仿宋_GBK" w:hAnsi="方正仿宋_GBK" w:eastAsia="方正仿宋_GBK" w:cs="方正仿宋_GBK"/>
                <w:color w:val="000000"/>
                <w:kern w:val="0"/>
                <w:sz w:val="24"/>
                <w:szCs w:val="24"/>
                <w:lang w:bidi="ar"/>
              </w:rPr>
              <w:t>16</w:t>
            </w:r>
            <w:r>
              <w:rPr>
                <w:rFonts w:hint="eastAsia" w:ascii="方正仿宋_GBK" w:hAnsi="方正仿宋_GBK" w:eastAsia="方正仿宋_GBK" w:cs="方正仿宋_GBK"/>
                <w:color w:val="000000"/>
                <w:kern w:val="0"/>
                <w:sz w:val="24"/>
                <w:szCs w:val="24"/>
                <w:lang w:bidi="ar"/>
              </w:rPr>
              <w:t>种亚硝胺类化合物检测方法的研究与应用</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EFF5EB8">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南京市食品药品监督检验院</w:t>
            </w:r>
          </w:p>
        </w:tc>
      </w:tr>
      <w:tr w14:paraId="04DDFC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20" w:type="dxa"/>
            <w:tcBorders>
              <w:top w:val="single" w:color="auto" w:sz="4" w:space="0"/>
              <w:bottom w:val="single" w:color="auto" w:sz="4" w:space="0"/>
              <w:right w:val="single" w:color="auto" w:sz="4" w:space="0"/>
            </w:tcBorders>
            <w:shd w:val="clear" w:color="auto" w:fill="FFFFFF" w:themeFill="background1"/>
            <w:vAlign w:val="center"/>
          </w:tcPr>
          <w:p w14:paraId="1E3BE252">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hint="eastAsia" w:ascii="方正仿宋_GBK" w:hAnsi="方正仿宋_GBK" w:eastAsia="方正仿宋_GBK" w:cs="方正仿宋_GBK"/>
                <w:color w:val="000000"/>
                <w:kern w:val="0"/>
                <w:sz w:val="24"/>
                <w:szCs w:val="24"/>
                <w:lang w:bidi="ar"/>
              </w:rPr>
              <w:t>65</w:t>
            </w:r>
          </w:p>
        </w:tc>
        <w:tc>
          <w:tcPr>
            <w:tcW w:w="4641"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1FD500B">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宣称含金银花化妆品中功效成分检测技术研究及真实性分析</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0AD2777">
            <w:pPr>
              <w:widowControl/>
              <w:adjustRightInd w:val="0"/>
              <w:snapToGrid w:val="0"/>
              <w:spacing w:line="400" w:lineRule="exact"/>
              <w:jc w:val="center"/>
              <w:textAlignment w:val="center"/>
              <w:rPr>
                <w:rFonts w:hint="eastAsia" w:ascii="方正仿宋_GBK" w:hAnsi="方正仿宋_GBK" w:eastAsia="方正仿宋_GBK" w:cs="方正仿宋_GBK"/>
                <w:color w:val="000000"/>
                <w:kern w:val="0"/>
                <w:sz w:val="24"/>
                <w:szCs w:val="24"/>
                <w:lang w:bidi="ar"/>
              </w:rPr>
            </w:pPr>
            <w:r>
              <w:rPr>
                <w:rFonts w:ascii="方正仿宋_GBK" w:hAnsi="方正仿宋_GBK" w:eastAsia="方正仿宋_GBK" w:cs="方正仿宋_GBK"/>
                <w:color w:val="000000"/>
                <w:kern w:val="0"/>
                <w:sz w:val="24"/>
                <w:szCs w:val="24"/>
                <w:lang w:bidi="ar"/>
              </w:rPr>
              <w:t>南京市食品药品监督检验院</w:t>
            </w:r>
          </w:p>
        </w:tc>
      </w:tr>
    </w:tbl>
    <w:p w14:paraId="652FD0D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653F"/>
    <w:rsid w:val="008865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Plain Text"/>
    <w:basedOn w:val="1"/>
    <w:qFormat/>
    <w:uiPriority w:val="0"/>
    <w:rPr>
      <w:rFonts w:ascii="宋体" w:eastAsia="宋体" w:cs="Times New Roman"/>
    </w:rPr>
  </w:style>
  <w:style w:type="character" w:customStyle="1" w:styleId="5">
    <w:name w:val="font61"/>
    <w:basedOn w:val="4"/>
    <w:qFormat/>
    <w:uiPriority w:val="0"/>
    <w:rPr>
      <w:rFonts w:ascii="方正黑体_GBK" w:hAnsi="方正黑体_GBK" w:eastAsia="方正黑体_GBK" w:cs="方正黑体_GBK"/>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2024-11-22T09:25:00Z</dcterms:created>
  <dc:creator>相裕连</dc:creator>
  <cp:lastModifiedBy>相裕连</cp:lastModifiedBy>
  <dcterms:modified xsi:type="dcterms:W3CDTF">2024-11-22T09:25:57Z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1888A3DB17A14AC182B3341056409079_11</vt:lpwstr>
  </property>
</Properties>
</file>