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0" w:after="0" w:line="590" w:lineRule="exact"/>
        <w:jc w:val="both"/>
        <w:rPr>
          <w:rFonts w:ascii="方正仿宋_GBK" w:eastAsia="方正仿宋_GBK" w:cs="方正仿宋_GBK"/>
          <w:b w:val="0"/>
          <w:bCs w:val="0"/>
        </w:rPr>
      </w:pPr>
      <w:r>
        <w:rPr>
          <w:rFonts w:hint="eastAsia" w:ascii="方正仿宋_GBK" w:eastAsia="方正仿宋_GBK" w:cs="方正仿宋_GBK"/>
          <w:b w:val="0"/>
          <w:bCs w:val="0"/>
        </w:rPr>
        <w:t>附件</w:t>
      </w:r>
    </w:p>
    <w:p>
      <w:pPr>
        <w:pStyle w:val="6"/>
        <w:rPr>
          <w:sz w:val="20"/>
        </w:rPr>
      </w:pPr>
    </w:p>
    <w:p>
      <w:pPr>
        <w:pStyle w:val="2"/>
        <w:adjustRightInd w:val="0"/>
        <w:snapToGrid w:val="0"/>
        <w:spacing w:before="0" w:after="0" w:line="590" w:lineRule="exact"/>
        <w:rPr>
          <w:rFonts w:hint="eastAsia" w:ascii="Times New Roman" w:hAnsi="Times New Roman" w:eastAsia="方正小标宋_GBK" w:cs="方正小标宋_GBK"/>
          <w:b w:val="0"/>
          <w:bCs w:val="0"/>
          <w:sz w:val="40"/>
          <w:szCs w:val="40"/>
          <w:lang w:val="en-US"/>
        </w:rPr>
      </w:pPr>
      <w:r>
        <w:rPr>
          <w:rFonts w:hint="eastAsia" w:ascii="Times New Roman" w:hAnsi="Times New Roman" w:eastAsia="方正小标宋_GBK" w:cs="方正小标宋_GBK"/>
          <w:b w:val="0"/>
          <w:bCs w:val="0"/>
          <w:sz w:val="40"/>
          <w:szCs w:val="40"/>
        </w:rPr>
        <w:t>江苏省药品监督管理局</w:t>
      </w:r>
      <w:r>
        <w:rPr>
          <w:rFonts w:hint="eastAsia" w:ascii="Times New Roman" w:hAnsi="Times New Roman" w:eastAsia="方正小标宋_GBK" w:cs="方正小标宋_GBK"/>
          <w:b w:val="0"/>
          <w:bCs w:val="0"/>
          <w:sz w:val="40"/>
          <w:szCs w:val="40"/>
          <w:lang w:val="en-US"/>
        </w:rPr>
        <w:t>审评核查</w:t>
      </w:r>
      <w:r>
        <w:rPr>
          <w:rFonts w:ascii="Times New Roman" w:hAnsi="Times New Roman" w:eastAsia="方正小标宋_GBK" w:cs="方正小标宋_GBK"/>
          <w:b w:val="0"/>
          <w:bCs w:val="0"/>
          <w:sz w:val="40"/>
          <w:szCs w:val="40"/>
        </w:rPr>
        <w:t>苏州</w:t>
      </w:r>
      <w:r>
        <w:rPr>
          <w:rFonts w:hint="eastAsia" w:ascii="Times New Roman" w:hAnsi="Times New Roman" w:eastAsia="方正小标宋_GBK" w:cs="方正小标宋_GBK"/>
          <w:b w:val="0"/>
          <w:bCs w:val="0"/>
          <w:sz w:val="40"/>
          <w:szCs w:val="40"/>
          <w:lang w:val="en-US"/>
        </w:rPr>
        <w:t>分中心</w:t>
      </w:r>
    </w:p>
    <w:p>
      <w:pPr>
        <w:pStyle w:val="2"/>
        <w:adjustRightInd w:val="0"/>
        <w:snapToGrid w:val="0"/>
        <w:spacing w:before="0" w:after="0" w:line="590" w:lineRule="exact"/>
        <w:rPr>
          <w:rFonts w:hint="eastAsia" w:ascii="Times New Roman" w:hAnsi="Times New Roman" w:eastAsia="方正小标宋_GBK" w:cs="方正小标宋_GBK"/>
          <w:b w:val="0"/>
          <w:bCs w:val="0"/>
          <w:sz w:val="40"/>
          <w:szCs w:val="40"/>
        </w:rPr>
      </w:pPr>
      <w:r>
        <w:rPr>
          <w:rFonts w:hint="eastAsia" w:ascii="Times New Roman" w:hAnsi="Times New Roman" w:eastAsia="方正小标宋_GBK" w:cs="方正小标宋_GBK"/>
          <w:b w:val="0"/>
          <w:bCs w:val="0"/>
          <w:sz w:val="40"/>
          <w:szCs w:val="40"/>
          <w:lang w:val="en-US"/>
        </w:rPr>
        <w:t>增项赋权事项</w:t>
      </w:r>
      <w:r>
        <w:rPr>
          <w:rFonts w:hint="eastAsia" w:ascii="Times New Roman" w:hAnsi="Times New Roman" w:eastAsia="方正小标宋_GBK" w:cs="方正小标宋_GBK"/>
          <w:b w:val="0"/>
          <w:bCs w:val="0"/>
          <w:sz w:val="40"/>
          <w:szCs w:val="40"/>
        </w:rPr>
        <w:t>清单</w:t>
      </w:r>
    </w:p>
    <w:p>
      <w:pPr>
        <w:adjustRightInd w:val="0"/>
        <w:snapToGrid w:val="0"/>
        <w:spacing w:line="440" w:lineRule="exact"/>
        <w:jc w:val="center"/>
        <w:textAlignment w:val="center"/>
        <w:rPr>
          <w:rFonts w:ascii="Times New Roman" w:hAnsi="Times New Roman" w:eastAsia="方正黑体_GBK" w:cs="方正黑体_GBK"/>
          <w:sz w:val="28"/>
          <w:szCs w:val="28"/>
        </w:rPr>
      </w:pPr>
    </w:p>
    <w:p>
      <w:pPr>
        <w:adjustRightInd w:val="0"/>
        <w:snapToGrid w:val="0"/>
        <w:spacing w:line="590" w:lineRule="exact"/>
        <w:jc w:val="center"/>
        <w:textAlignment w:val="center"/>
        <w:rPr>
          <w:rFonts w:ascii="Times New Roman" w:hAnsi="Times New Roman" w:eastAsia="方正黑体_GBK" w:cs="方正黑体_GBK"/>
          <w:sz w:val="28"/>
          <w:szCs w:val="28"/>
          <w:lang w:val="en-US"/>
        </w:rPr>
      </w:pPr>
      <w:r>
        <w:rPr>
          <w:rFonts w:ascii="Times New Roman" w:hAnsi="Times New Roman" w:eastAsia="方正黑体_GBK" w:cs="方正黑体_GBK"/>
          <w:sz w:val="28"/>
          <w:szCs w:val="28"/>
        </w:rPr>
        <w:t>（</w:t>
      </w:r>
      <w:r>
        <w:rPr>
          <w:rFonts w:hint="eastAsia" w:ascii="Times New Roman" w:hAnsi="Times New Roman" w:eastAsia="方正黑体_GBK" w:cs="方正黑体_GBK"/>
          <w:sz w:val="28"/>
          <w:szCs w:val="28"/>
          <w:lang w:val="en-US"/>
        </w:rPr>
        <w:t>一</w:t>
      </w:r>
      <w:r>
        <w:rPr>
          <w:rFonts w:ascii="Times New Roman" w:hAnsi="Times New Roman" w:eastAsia="方正黑体_GBK" w:cs="方正黑体_GBK"/>
          <w:sz w:val="28"/>
          <w:szCs w:val="28"/>
        </w:rPr>
        <w:t>）</w:t>
      </w:r>
      <w:r>
        <w:rPr>
          <w:rFonts w:hint="eastAsia" w:ascii="Times New Roman" w:hAnsi="Times New Roman" w:eastAsia="方正黑体_GBK" w:cs="方正黑体_GBK"/>
          <w:sz w:val="28"/>
          <w:szCs w:val="28"/>
          <w:lang w:val="en-US"/>
        </w:rPr>
        <w:t>二类审评赋权事项</w:t>
      </w:r>
    </w:p>
    <w:tbl>
      <w:tblPr>
        <w:tblStyle w:val="9"/>
        <w:tblW w:w="880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1243"/>
        <w:gridCol w:w="2463"/>
        <w:gridCol w:w="50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cantSplit/>
          <w:trHeight w:val="761" w:hRule="atLeast"/>
          <w:tblHeader/>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95"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药品上市后场地变更管理</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低风险类药品场地变更审评（包括中药饮片、医用氧气等）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69"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医疗机构制剂补充申请</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改变影响制剂质量的配制工艺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57"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w:t>
            </w:r>
          </w:p>
        </w:tc>
        <w:tc>
          <w:tcPr>
            <w:tcW w:w="75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医疗机构运用传统工艺配制中药制剂备案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54"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4</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第二类医疗器械许可事项变更</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产品名称变更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6"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5</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p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产品名称为敷料或导管的器械型号、规格变更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6</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第二类体外诊断试剂许可事项变更注册</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产品名称变化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7</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p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包装规格变化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8</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p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产品储存条件及有效期变化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9</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p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适用仪器变化</w:t>
            </w:r>
          </w:p>
        </w:tc>
      </w:tr>
    </w:tbl>
    <w:p>
      <w:pPr>
        <w:adjustRightInd w:val="0"/>
        <w:snapToGrid w:val="0"/>
        <w:spacing w:line="590" w:lineRule="exact"/>
        <w:jc w:val="center"/>
        <w:textAlignment w:val="center"/>
        <w:rPr>
          <w:rFonts w:ascii="Times New Roman" w:hAnsi="Times New Roman" w:eastAsia="方正黑体_GBK" w:cs="方正黑体_GBK"/>
          <w:sz w:val="28"/>
          <w:szCs w:val="28"/>
        </w:rPr>
      </w:pPr>
    </w:p>
    <w:p>
      <w:pPr>
        <w:adjustRightInd w:val="0"/>
        <w:snapToGrid w:val="0"/>
        <w:spacing w:line="590" w:lineRule="exact"/>
        <w:jc w:val="center"/>
        <w:textAlignment w:val="center"/>
        <w:rPr>
          <w:rFonts w:ascii="Times New Roman" w:hAnsi="Times New Roman" w:eastAsia="方正黑体_GBK" w:cs="方正黑体_GBK"/>
          <w:sz w:val="28"/>
          <w:szCs w:val="28"/>
          <w:lang w:val="en-US"/>
        </w:rPr>
      </w:pPr>
      <w:r>
        <w:rPr>
          <w:rFonts w:ascii="Times New Roman" w:hAnsi="Times New Roman" w:eastAsia="方正黑体_GBK" w:cs="方正黑体_GBK"/>
          <w:sz w:val="28"/>
          <w:szCs w:val="28"/>
        </w:rPr>
        <w:t>（</w:t>
      </w:r>
      <w:r>
        <w:rPr>
          <w:rFonts w:hint="eastAsia" w:ascii="Times New Roman" w:hAnsi="Times New Roman" w:eastAsia="方正黑体_GBK" w:cs="方正黑体_GBK"/>
          <w:sz w:val="28"/>
          <w:szCs w:val="28"/>
          <w:lang w:val="en-US"/>
        </w:rPr>
        <w:t>二</w:t>
      </w:r>
      <w:r>
        <w:rPr>
          <w:rFonts w:ascii="Times New Roman" w:hAnsi="Times New Roman" w:eastAsia="方正黑体_GBK" w:cs="方正黑体_GBK"/>
          <w:sz w:val="28"/>
          <w:szCs w:val="28"/>
        </w:rPr>
        <w:t>）</w:t>
      </w:r>
      <w:r>
        <w:rPr>
          <w:rFonts w:hint="eastAsia" w:ascii="Times New Roman" w:hAnsi="Times New Roman" w:eastAsia="方正黑体_GBK" w:cs="方正黑体_GBK"/>
          <w:sz w:val="28"/>
          <w:szCs w:val="28"/>
          <w:lang w:val="en-US"/>
        </w:rPr>
        <w:t>二类核查赋权事项</w:t>
      </w:r>
    </w:p>
    <w:tbl>
      <w:tblPr>
        <w:tblStyle w:val="9"/>
        <w:tblW w:w="88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098"/>
        <w:gridCol w:w="2603"/>
        <w:gridCol w:w="2268"/>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4" w:hRule="atLeast"/>
          <w:tblHeader/>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7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药品上市后场地变更管理</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国内药品生产企业改变药品生产场地</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低风险类药品场地变更（包括原料药、中药饮片、医用氧气等）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5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药品恢复生产</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药品生产许可证核发</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药品生产许可证核发（药品上市许可持有人自行生产的情形）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药品生产许可证核发 （药品生产企业接受委托生产的情形）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46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5</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药品生产许可证变更</w:t>
            </w:r>
          </w:p>
        </w:tc>
        <w:tc>
          <w:tcPr>
            <w:tcW w:w="2268" w:type="dxa"/>
            <w:vMerge w:val="restart"/>
            <w:tcBorders>
              <w:left w:val="single" w:color="auto" w:sz="4" w:space="0"/>
              <w:bottom w:val="nil"/>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增加生产地址、生产范围（药品上市许可持有人自行生产或药品生产企业受托生产的情形）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中药饮片（与GMP合并检查）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38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vMerge w:val="continue"/>
            <w:tcBorders>
              <w:top w:val="nil"/>
              <w:left w:val="single" w:color="auto" w:sz="4" w:space="0"/>
            </w:tcBorders>
            <w:shd w:val="clear" w:color="auto" w:fill="auto"/>
            <w:vAlign w:val="center"/>
          </w:tcPr>
          <w:p>
            <w:pPr>
              <w:adjustRightInd w:val="0"/>
              <w:snapToGrid w:val="0"/>
              <w:spacing w:line="590" w:lineRule="exact"/>
            </w:pP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新增无菌原料药、无菌制剂、疫苗的生产范围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highlight w:val="green"/>
              </w:rPr>
            </w:pPr>
            <w:r>
              <w:rPr>
                <w:rFonts w:hint="eastAsia" w:ascii="方正仿宋_GBK" w:hAnsi="Times New Roman" w:eastAsia="方正仿宋_GBK" w:cs="方正仿宋_GBK"/>
                <w:sz w:val="28"/>
                <w:szCs w:val="28"/>
              </w:rPr>
              <w:t>7</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B证持有人增加委托生产事项</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新增委托生产事项（受托方未接受GMP符合性检查）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8</w:t>
            </w:r>
          </w:p>
        </w:tc>
        <w:tc>
          <w:tcPr>
            <w:tcW w:w="487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出具出口欧盟原料药证明文件</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原料药（除无菌原料药）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06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9</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GMP符合性检查</w:t>
            </w:r>
          </w:p>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（依申请检查）</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B证持有人GMP符合性检查</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3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10</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新建、改扩建车间/生产线（原料药、中药饮片、中药前处理、医用氧气）、新增原料药品种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11</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GMP符合性检查</w:t>
            </w:r>
          </w:p>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（监督检查）</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低风险剂型和品种（医用氧、中药饮片、原料药、外用制剂、风险低的口服制剂）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5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12</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药品经营许可证变更</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变更仓库地址、经营范围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36"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w:t>
            </w:r>
          </w:p>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4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5" w:hRule="atLeast"/>
        </w:trPr>
        <w:tc>
          <w:tcPr>
            <w:tcW w:w="1098" w:type="dxa"/>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16</w:t>
            </w:r>
          </w:p>
        </w:tc>
        <w:tc>
          <w:tcPr>
            <w:tcW w:w="7706" w:type="dxa"/>
            <w:gridSpan w:val="3"/>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47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第二类体外诊断试剂拟上市产品注册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5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38" w:hRule="atLeast"/>
        </w:trPr>
        <w:tc>
          <w:tcPr>
            <w:tcW w:w="1098" w:type="dxa"/>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20</w:t>
            </w:r>
          </w:p>
        </w:tc>
        <w:tc>
          <w:tcPr>
            <w:tcW w:w="7706" w:type="dxa"/>
            <w:gridSpan w:val="3"/>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第二类体外诊断试剂许可事项变更注册（可能影响产品有效性的事项）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0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第二类医疗器械优先注册程序审查认定及注册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9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80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23</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6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24</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第二类医疗器械应急注册程序审查认定及注册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9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83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73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开办第二、三类</w:t>
            </w:r>
          </w:p>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医疗器械生产企业</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三类产品自行生产新开办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二类产品注册人制度新开办（注册人生产地址第一次检查、受托企业新开办）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6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三类产品注册人制度新开办（注册人生产地址第一次检查、受托企业新开办）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2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30</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第二、三类医疗器械生产许可证许可事项变更</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增加生产范围（增加受托二类产品）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1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31</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增加生产范围（增加受托三类产品）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0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二类产品生产地址迁移或增加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6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33</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三类产品生产地址迁移或增加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8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二三类产品生产地址减少</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影响生产流程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93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35</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第二、三类医疗器械生产许可证延续</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三类生产许可延续</w:t>
            </w:r>
          </w:p>
        </w:tc>
      </w:tr>
    </w:tbl>
    <w:p>
      <w:pPr>
        <w:adjustRightInd w:val="0"/>
        <w:snapToGrid w:val="0"/>
        <w:spacing w:beforeLines="50" w:line="400" w:lineRule="atLeast"/>
      </w:pPr>
      <w:bookmarkStart w:id="0" w:name="_GoBack"/>
      <w:bookmarkEnd w:id="0"/>
    </w:p>
    <w:sectPr>
      <w:headerReference r:id="rId3" w:type="default"/>
      <w:footerReference r:id="rId4" w:type="default"/>
      <w:pgSz w:w="11906" w:h="16838"/>
      <w:pgMar w:top="1814" w:right="1531" w:bottom="1985" w:left="1531" w:header="720" w:footer="1474" w:gutter="0"/>
      <w:cols w:space="0" w:num="1"/>
      <w:rtlGutter w:val="0"/>
      <w:docGrid w:type="lines" w:linePitch="44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兰亭黑_GBK">
    <w:altName w:val="Arial Unicode MS"/>
    <w:panose1 w:val="02000000000000000000"/>
    <w:charset w:val="86"/>
    <w:family w:val="script"/>
    <w:pitch w:val="default"/>
    <w:sig w:usb0="00000000" w:usb1="00000000" w:usb2="00080016" w:usb3="00000000" w:csb0="00040001" w:csb1="00000000"/>
  </w:font>
  <w:font w:name="Cambria">
    <w:panose1 w:val="02040503050406030204"/>
    <w:charset w:val="00"/>
    <w:family w:val="auto"/>
    <w:pitch w:val="default"/>
    <w:sig w:usb0="E00002FF" w:usb1="400004FF" w:usb2="00000000"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firstLine="360"/>
      <w:jc w:val="center"/>
      <w:rPr>
        <w:rFonts w:ascii="方正仿宋_GBK" w:eastAsia="方正仿宋_GBK"/>
        <w:b/>
        <w:sz w:val="24"/>
        <w:szCs w:val="24"/>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revisionView w:markup="0"/>
  <w:trackRevisions w:val="1"/>
  <w:documentProtection w:edit="readOnly" w:enforcement="0"/>
  <w:defaultTabStop w:val="420"/>
  <w:drawingGridHorizontalSpacing w:val="160"/>
  <w:drawingGridVerticalSpacing w:val="225"/>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MzZkN2NhOTA2NWM0ZTE3MGI4YTc2ZTMwOWU0YTc2MzMifQ=="/>
    <w:docVar w:name="KGWebUrl" w:val="https://172.26.19.117:8080/yjjoa/tenth/weboffice/webofficex-server.jaction?option=LOADFILE&amp;saveMode=0&amp;savePath=docbody&amp;recordId=f089ae56-6c2c-4250-9606-f3604be934e6"/>
  </w:docVars>
  <w:rsids>
    <w:rsidRoot w:val="00000000"/>
    <w:rsid w:val="1AF34201"/>
    <w:rsid w:val="26D95F20"/>
    <w:rsid w:val="330B3D46"/>
    <w:rsid w:val="341F0EA5"/>
    <w:rsid w:val="5BB524F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方正仿宋_GBK" w:cs="Times New Roman"/>
      <w:kern w:val="2"/>
      <w:sz w:val="32"/>
      <w:szCs w:val="24"/>
      <w:lang w:val="en-US" w:eastAsia="zh-CN" w:bidi="ar-SA"/>
    </w:rPr>
  </w:style>
  <w:style w:type="paragraph" w:styleId="3">
    <w:name w:val="heading 1"/>
    <w:basedOn w:val="1"/>
    <w:next w:val="1"/>
    <w:qFormat/>
    <w:uiPriority w:val="0"/>
    <w:pPr>
      <w:keepNext/>
      <w:keepLines/>
      <w:widowControl w:val="0"/>
      <w:spacing w:line="576" w:lineRule="auto"/>
      <w:outlineLvl w:val="0"/>
    </w:pPr>
    <w:rPr>
      <w:rFonts w:ascii="Calibri" w:hAnsi="Calibri" w:eastAsia="宋体" w:cs="宋体"/>
      <w:b/>
      <w:kern w:val="44"/>
      <w:sz w:val="44"/>
      <w:szCs w:val="21"/>
    </w:rPr>
  </w:style>
  <w:style w:type="paragraph" w:styleId="4">
    <w:name w:val="heading 2"/>
    <w:basedOn w:val="1"/>
    <w:next w:val="1"/>
    <w:qFormat/>
    <w:uiPriority w:val="0"/>
    <w:pPr>
      <w:keepNext/>
      <w:keepLines/>
      <w:widowControl w:val="0"/>
      <w:spacing w:before="260" w:after="260" w:line="415" w:lineRule="auto"/>
      <w:outlineLvl w:val="1"/>
    </w:pPr>
    <w:rPr>
      <w:rFonts w:ascii="方正兰亭黑_GBK" w:hAnsi="方正兰亭黑_GBK" w:eastAsia="黑体"/>
      <w:b/>
      <w:bCs/>
      <w:sz w:val="32"/>
      <w:szCs w:val="32"/>
    </w:rPr>
  </w:style>
  <w:style w:type="paragraph" w:styleId="5">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Cambria" w:hAnsi="Cambria" w:eastAsia="宋体" w:cs="Times New Roman"/>
      <w:b/>
      <w:bCs/>
      <w:sz w:val="32"/>
      <w:szCs w:val="32"/>
    </w:rPr>
  </w:style>
  <w:style w:type="paragraph" w:styleId="6">
    <w:name w:val="Body Text"/>
    <w:basedOn w:val="1"/>
    <w:qFormat/>
    <w:uiPriority w:val="0"/>
    <w:rPr>
      <w:rFonts w:ascii="Calibri" w:hAnsi="Calibri" w:eastAsia="宋体" w:cs="宋体"/>
      <w:sz w:val="32"/>
      <w:szCs w:val="32"/>
    </w:rPr>
  </w:style>
  <w:style w:type="paragraph" w:styleId="7">
    <w:name w:val="footer"/>
    <w:basedOn w:val="1"/>
    <w:qFormat/>
    <w:uiPriority w:val="0"/>
    <w:pPr>
      <w:tabs>
        <w:tab w:val="center" w:pos="4153"/>
        <w:tab w:val="right" w:pos="8306"/>
      </w:tabs>
      <w:snapToGrid w:val="0"/>
      <w:jc w:val="left"/>
    </w:pPr>
    <w:rPr>
      <w:rFonts w:ascii="Calibri" w:hAnsi="Calibri" w:eastAsia="宋体" w:cs="Arial"/>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rFonts w:ascii="Calibri" w:hAnsi="Calibri" w:eastAsia="宋体" w:cs="Arial"/>
      <w:sz w:val="18"/>
      <w:szCs w:val="18"/>
    </w:rPr>
  </w:style>
  <w:style w:type="character" w:styleId="11">
    <w:name w:val="page number"/>
    <w:basedOn w:val="10"/>
    <w:qFormat/>
    <w:uiPriority w:val="0"/>
  </w:style>
  <w:style w:type="paragraph" w:customStyle="1" w:styleId="12">
    <w:name w:val="样式2"/>
    <w:basedOn w:val="3"/>
    <w:qFormat/>
    <w:uiPriority w:val="0"/>
    <w:pPr>
      <w:spacing w:line="480" w:lineRule="exact"/>
      <w:ind w:firstLine="200" w:firstLineChars="200"/>
      <w:jc w:val="center"/>
    </w:pPr>
    <w:rPr>
      <w:rFonts w:ascii="Calibri" w:hAnsi="Calibri" w:eastAsia="方正小标宋_GBK"/>
      <w:sz w:val="32"/>
    </w:rPr>
  </w:style>
  <w:style w:type="paragraph" w:customStyle="1" w:styleId="13">
    <w:name w:val="样式1"/>
    <w:basedOn w:val="3"/>
    <w:qFormat/>
    <w:uiPriority w:val="0"/>
    <w:pPr>
      <w:spacing w:line="480" w:lineRule="exact"/>
      <w:jc w:val="center"/>
    </w:pPr>
    <w:rPr>
      <w:rFonts w:ascii="Calibri" w:hAnsi="Calibri" w:eastAsia="方正小标宋_GBK"/>
      <w:sz w:val="32"/>
    </w:rPr>
  </w:style>
  <w:style w:type="character" w:customStyle="1" w:styleId="14">
    <w:name w:val="font41"/>
    <w:basedOn w:val="10"/>
    <w:qFormat/>
    <w:uiPriority w:val="0"/>
    <w:rPr>
      <w:rFonts w:ascii="Times New Roman" w:hAnsi="Times New Roman" w:eastAsia="宋体" w:cs="Times New Roman"/>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Company>微软中国</Company>
  <Pages>10</Pages>
  <Words>1612</Words>
  <Characters>1673</Characters>
  <Lines>305</Lines>
  <Paragraphs>157</Paragraphs>
  <TotalTime>0</TotalTime>
  <ScaleCrop>false</ScaleCrop>
  <LinksUpToDate>false</LinksUpToDate>
  <CharactersWithSpaces>1694</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2022-06-25T05:46:00Z</dcterms:created>
  <dc:creator>wangl</dc:creator>
  <cp:lastModifiedBy>文印室(wys)</cp:lastModifiedBy>
  <cp:lastPrinted>2023-03-22T09:47:00Z</cp:lastPrinted>
  <dcterms:modified xsi:type="dcterms:W3CDTF">2023-03-22T10:15:01Z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936AA975F07245BBB4C1C345F3AF4F6B</vt:lpwstr>
  </property>
</Properties>
</file>