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pStyle w:val="8"/>
        <w:adjustRightInd w:val="0"/>
        <w:snapToGrid w:val="0"/>
        <w:spacing w:before="0" w:after="0" w:line="590" w:lineRule="atLeast"/>
        <w:jc w:val="both"/>
        <w:rPr>
          <w:rFonts w:ascii="方正仿宋_GBK" w:eastAsia="方正仿宋_GBK" w:cs="方正仿宋_GBK"/>
          <w:b w:val="0"/>
          <w:bCs w:val="0"/>
        </w:rPr>
      </w:pPr>
      <w:r>
        <w:rPr>
          <w:rFonts w:hint="eastAsia" w:ascii="方正黑体_GBK" w:hAnsi="方正黑体_GBK" w:eastAsia="方正黑体_GBK" w:cs="方正黑体_GBK"/>
          <w:b w:val="0"/>
          <w:bCs w:val="0"/>
        </w:rPr>
        <w:t>附件</w:t>
      </w:r>
    </w:p>
    <w:p>
      <w:pPr>
        <w:pStyle w:val="5"/>
        <w:adjustRightInd w:val="0"/>
        <w:snapToGrid w:val="0"/>
        <w:spacing w:line="590" w:lineRule="atLeast"/>
        <w:rPr>
          <w:sz w:val="20"/>
        </w:rPr>
      </w:pPr>
    </w:p>
    <w:p>
      <w:pPr>
        <w:pStyle w:val="8"/>
        <w:adjustRightInd w:val="0"/>
        <w:snapToGrid w:val="0"/>
        <w:spacing w:line="590" w:lineRule="atLeast"/>
        <w:rPr>
          <w:rFonts w:ascii="Times New Roman" w:hAnsi="Times New Roman" w:eastAsia="方正小标宋_GBK" w:cs="方正小标宋_GBK"/>
          <w:b w:val="0"/>
          <w:bCs w:val="0"/>
          <w:sz w:val="44"/>
          <w:szCs w:val="44"/>
        </w:rPr>
      </w:pPr>
      <w:r>
        <w:rPr>
          <w:rFonts w:hint="eastAsia" w:ascii="Times New Roman" w:hAnsi="Times New Roman" w:eastAsia="方正小标宋_GBK" w:cs="方正小标宋_GBK"/>
          <w:b w:val="0"/>
          <w:bCs w:val="0"/>
          <w:sz w:val="44"/>
          <w:szCs w:val="44"/>
        </w:rPr>
        <w:t>江苏省药品监督管理局审评核查</w:t>
      </w:r>
      <w:r>
        <w:rPr>
          <w:rFonts w:ascii="Times New Roman" w:hAnsi="Times New Roman" w:eastAsia="方正小标宋_GBK" w:cs="方正小标宋_GBK"/>
          <w:b w:val="0"/>
          <w:bCs w:val="0"/>
          <w:sz w:val="44"/>
          <w:szCs w:val="44"/>
        </w:rPr>
        <w:t>无锡</w:t>
      </w:r>
      <w:r>
        <w:rPr>
          <w:rFonts w:hint="eastAsia" w:ascii="Times New Roman" w:hAnsi="Times New Roman" w:eastAsia="方正小标宋_GBK" w:cs="方正小标宋_GBK"/>
          <w:b w:val="0"/>
          <w:bCs w:val="0"/>
          <w:sz w:val="44"/>
          <w:szCs w:val="44"/>
        </w:rPr>
        <w:t>分中心</w:t>
      </w:r>
    </w:p>
    <w:p>
      <w:pPr>
        <w:pStyle w:val="8"/>
        <w:adjustRightInd w:val="0"/>
        <w:snapToGrid w:val="0"/>
        <w:spacing w:line="590" w:lineRule="atLeast"/>
        <w:rPr>
          <w:rFonts w:ascii="Times New Roman" w:hAnsi="Times New Roman" w:eastAsia="方正小标宋_GBK" w:cs="方正小标宋_GBK"/>
          <w:b w:val="0"/>
          <w:bCs w:val="0"/>
          <w:sz w:val="40"/>
          <w:szCs w:val="40"/>
        </w:rPr>
      </w:pPr>
      <w:r>
        <w:rPr>
          <w:rFonts w:hint="eastAsia" w:ascii="Times New Roman" w:hAnsi="Times New Roman" w:eastAsia="方正小标宋_GBK" w:cs="方正小标宋_GBK"/>
          <w:b w:val="0"/>
          <w:bCs w:val="0"/>
          <w:sz w:val="44"/>
          <w:szCs w:val="44"/>
        </w:rPr>
        <w:t>增项赋权事项清单</w:t>
      </w:r>
    </w:p>
    <w:p>
      <w:pPr>
        <w:adjustRightInd w:val="0"/>
        <w:snapToGrid w:val="0"/>
        <w:spacing w:line="590" w:lineRule="exact"/>
        <w:rPr>
          <w:rFonts w:hint="eastAsia" w:ascii="Times New Roman" w:hAnsi="Times New Roman" w:eastAsia="方正黑体_GBK" w:cs="方正小标宋_GBK"/>
          <w:sz w:val="32"/>
          <w:szCs w:val="32"/>
        </w:rPr>
      </w:pPr>
    </w:p>
    <w:p>
      <w:pPr>
        <w:adjustRightInd w:val="0"/>
        <w:snapToGrid w:val="0"/>
        <w:spacing w:line="590" w:lineRule="exact"/>
        <w:rPr>
          <w:rFonts w:ascii="Times New Roman" w:hAnsi="Times New Roman" w:eastAsia="方正仿宋_GBK" w:cs="Times New Roman Regular"/>
          <w:color w:val="231F20"/>
          <w:spacing w:val="7"/>
          <w:sz w:val="32"/>
          <w:szCs w:val="32"/>
        </w:rPr>
      </w:pPr>
      <w:r>
        <w:rPr>
          <w:rFonts w:hint="eastAsia" w:ascii="Times New Roman" w:hAnsi="Times New Roman" w:eastAsia="方正黑体_GBK" w:cs="方正小标宋_GBK"/>
          <w:sz w:val="32"/>
          <w:szCs w:val="32"/>
        </w:rPr>
        <w:t>一</w:t>
      </w:r>
      <w:r>
        <w:rPr>
          <w:rFonts w:ascii="Times New Roman" w:hAnsi="Times New Roman" w:eastAsia="方正黑体_GBK" w:cs="方正小标宋_GBK"/>
          <w:sz w:val="32"/>
          <w:szCs w:val="32"/>
        </w:rPr>
        <w:t>、</w:t>
      </w:r>
      <w:r>
        <w:rPr>
          <w:rFonts w:hint="eastAsia" w:ascii="Times New Roman" w:hAnsi="Times New Roman" w:eastAsia="方正黑体_GBK" w:cs="方正小标宋_GBK"/>
          <w:sz w:val="32"/>
          <w:szCs w:val="32"/>
        </w:rPr>
        <w:t>一类核查事项</w:t>
      </w:r>
    </w:p>
    <w:tbl>
      <w:tblPr>
        <w:tblStyle w:val="9"/>
        <w:tblW w:w="8922" w:type="dxa"/>
        <w:tblInd w:w="8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021"/>
        <w:gridCol w:w="2891"/>
        <w:gridCol w:w="2710"/>
        <w:gridCol w:w="23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102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方正黑体_GBK" w:eastAsia="方正黑体_GBK" w:cs="方正黑体_GBK"/>
                <w:color w:val="000000"/>
                <w:sz w:val="28"/>
                <w:szCs w:val="28"/>
              </w:rPr>
            </w:pPr>
            <w:r>
              <w:rPr>
                <w:rFonts w:hint="eastAsia" w:ascii="方正黑体_GBK" w:eastAsia="方正黑体_GBK" w:cs="方正黑体_GBK"/>
                <w:color w:val="000000"/>
                <w:kern w:val="0"/>
                <w:sz w:val="28"/>
                <w:szCs w:val="28"/>
              </w:rPr>
              <w:t>序号</w:t>
            </w:r>
          </w:p>
        </w:tc>
        <w:tc>
          <w:tcPr>
            <w:tcW w:w="289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方正黑体_GBK" w:eastAsia="方正黑体_GBK" w:cs="方正黑体_GBK"/>
                <w:color w:val="000000"/>
                <w:sz w:val="28"/>
                <w:szCs w:val="28"/>
              </w:rPr>
            </w:pPr>
            <w:r>
              <w:rPr>
                <w:rFonts w:hint="eastAsia" w:ascii="方正黑体_GBK" w:eastAsia="方正黑体_GBK" w:cs="方正黑体_GBK"/>
                <w:color w:val="000000"/>
                <w:kern w:val="0"/>
                <w:sz w:val="28"/>
                <w:szCs w:val="28"/>
              </w:rPr>
              <w:t>业务事项</w:t>
            </w:r>
          </w:p>
        </w:tc>
        <w:tc>
          <w:tcPr>
            <w:tcW w:w="271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方正黑体_GBK" w:eastAsia="方正黑体_GBK" w:cs="方正黑体_GBK"/>
                <w:color w:val="000000"/>
                <w:sz w:val="28"/>
                <w:szCs w:val="28"/>
              </w:rPr>
            </w:pPr>
            <w:r>
              <w:rPr>
                <w:rFonts w:hint="eastAsia" w:ascii="方正黑体_GBK" w:eastAsia="方正黑体_GBK" w:cs="方正黑体_GBK"/>
                <w:color w:val="000000"/>
                <w:kern w:val="0"/>
                <w:sz w:val="28"/>
                <w:szCs w:val="28"/>
              </w:rPr>
              <w:t>业务子项</w:t>
            </w:r>
          </w:p>
        </w:tc>
        <w:tc>
          <w:tcPr>
            <w:tcW w:w="23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方正黑体_GBK" w:eastAsia="方正黑体_GBK" w:cs="方正黑体_GBK"/>
                <w:color w:val="000000"/>
                <w:sz w:val="28"/>
                <w:szCs w:val="28"/>
              </w:rPr>
            </w:pPr>
            <w:r>
              <w:rPr>
                <w:rFonts w:hint="eastAsia" w:ascii="方正黑体_GBK" w:eastAsia="方正黑体_GBK" w:cs="方正黑体_GBK"/>
                <w:color w:val="000000"/>
                <w:kern w:val="0"/>
                <w:sz w:val="28"/>
                <w:szCs w:val="28"/>
              </w:rPr>
              <w:t>业务子项细分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10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tc>
        <w:tc>
          <w:tcPr>
            <w:tcW w:w="28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tc>
        <w:tc>
          <w:tcPr>
            <w:tcW w:w="27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tc>
        <w:tc>
          <w:tcPr>
            <w:tcW w:w="23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cs="Times New Roman"/>
                <w:color w:val="000000"/>
                <w:sz w:val="28"/>
                <w:szCs w:val="28"/>
              </w:rPr>
            </w:pPr>
            <w:r>
              <w:rPr>
                <w:rFonts w:ascii="Times New Roman" w:hAnsi="Times New Roman" w:cs="Times New Roman"/>
                <w:color w:val="000000"/>
                <w:sz w:val="28"/>
                <w:szCs w:val="28"/>
              </w:rPr>
              <w:t>1</w:t>
            </w:r>
          </w:p>
        </w:tc>
        <w:tc>
          <w:tcPr>
            <w:tcW w:w="28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方正楷体_GBK" w:eastAsia="方正楷体_GBK" w:cs="方正楷体_GBK"/>
                <w:color w:val="000000"/>
                <w:sz w:val="28"/>
                <w:szCs w:val="28"/>
              </w:rPr>
            </w:pPr>
            <w:r>
              <w:rPr>
                <w:rFonts w:hint="eastAsia" w:ascii="方正楷体_GBK" w:eastAsia="方正楷体_GBK" w:cs="方正楷体_GBK"/>
                <w:color w:val="000000"/>
                <w:kern w:val="0"/>
                <w:sz w:val="28"/>
                <w:szCs w:val="28"/>
              </w:rPr>
              <w:t>第二类医疗器械拟上市产品注册</w:t>
            </w:r>
          </w:p>
        </w:tc>
        <w:tc>
          <w:tcPr>
            <w:tcW w:w="50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方正楷体_GBK" w:eastAsia="方正楷体_GBK" w:cs="方正楷体_GBK"/>
                <w:color w:val="000000"/>
                <w:sz w:val="28"/>
                <w:szCs w:val="28"/>
              </w:rPr>
            </w:pPr>
            <w:r>
              <w:rPr>
                <w:rFonts w:hint="eastAsia" w:ascii="方正楷体_GBK" w:eastAsia="方正楷体_GBK" w:cs="方正楷体_GBK"/>
                <w:color w:val="000000"/>
                <w:kern w:val="0"/>
                <w:sz w:val="28"/>
                <w:szCs w:val="28"/>
              </w:rPr>
              <w:t>委托有资质的检验机构进行注册检验的企业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cs="Times New Roman"/>
                <w:color w:val="000000"/>
                <w:sz w:val="28"/>
                <w:szCs w:val="28"/>
              </w:rPr>
            </w:pPr>
            <w:r>
              <w:rPr>
                <w:rFonts w:ascii="Times New Roman" w:hAnsi="Times New Roman" w:cs="Times New Roman"/>
                <w:color w:val="000000"/>
                <w:sz w:val="28"/>
                <w:szCs w:val="28"/>
              </w:rPr>
              <w:t>2</w:t>
            </w:r>
          </w:p>
        </w:tc>
        <w:tc>
          <w:tcPr>
            <w:tcW w:w="28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方正楷体_GBK" w:eastAsia="方正楷体_GBK" w:cs="方正楷体_GBK"/>
                <w:color w:val="000000"/>
                <w:sz w:val="28"/>
                <w:szCs w:val="28"/>
              </w:rPr>
            </w:pPr>
            <w:r>
              <w:rPr>
                <w:rFonts w:hint="eastAsia" w:ascii="方正楷体_GBK" w:eastAsia="方正楷体_GBK" w:cs="方正楷体_GBK"/>
                <w:color w:val="000000"/>
                <w:kern w:val="0"/>
                <w:sz w:val="28"/>
                <w:szCs w:val="28"/>
              </w:rPr>
              <w:t>第二类体外诊断试剂拟上市产品注册</w:t>
            </w:r>
          </w:p>
        </w:tc>
        <w:tc>
          <w:tcPr>
            <w:tcW w:w="50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方正楷体_GBK" w:eastAsia="方正楷体_GBK" w:cs="方正楷体_GBK"/>
                <w:color w:val="000000"/>
                <w:sz w:val="28"/>
                <w:szCs w:val="28"/>
              </w:rPr>
            </w:pPr>
            <w:r>
              <w:rPr>
                <w:rFonts w:hint="eastAsia" w:ascii="方正楷体_GBK" w:eastAsia="方正楷体_GBK" w:cs="方正楷体_GBK"/>
                <w:color w:val="000000"/>
                <w:kern w:val="0"/>
                <w:sz w:val="28"/>
                <w:szCs w:val="28"/>
              </w:rPr>
              <w:t>委托有资质的检验机构进行注册检验的企业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cs="Times New Roman"/>
                <w:color w:val="000000"/>
                <w:sz w:val="28"/>
                <w:szCs w:val="28"/>
              </w:rPr>
            </w:pPr>
            <w:r>
              <w:rPr>
                <w:rFonts w:ascii="Times New Roman" w:hAnsi="Times New Roman" w:cs="Times New Roman"/>
                <w:color w:val="000000"/>
                <w:sz w:val="28"/>
                <w:szCs w:val="28"/>
              </w:rPr>
              <w:t>3</w:t>
            </w:r>
          </w:p>
        </w:tc>
        <w:tc>
          <w:tcPr>
            <w:tcW w:w="28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方正楷体_GBK" w:eastAsia="方正楷体_GBK" w:cs="方正楷体_GBK"/>
                <w:color w:val="000000"/>
                <w:sz w:val="28"/>
                <w:szCs w:val="28"/>
              </w:rPr>
            </w:pPr>
            <w:r>
              <w:rPr>
                <w:rFonts w:hint="eastAsia" w:ascii="方正楷体_GBK" w:eastAsia="方正楷体_GBK" w:cs="方正楷体_GBK"/>
                <w:color w:val="000000"/>
                <w:kern w:val="0"/>
                <w:sz w:val="28"/>
                <w:szCs w:val="28"/>
              </w:rPr>
              <w:t>开办第二、三类医疗器械生产企业</w:t>
            </w:r>
          </w:p>
        </w:tc>
        <w:tc>
          <w:tcPr>
            <w:tcW w:w="271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方正楷体_GBK" w:eastAsia="方正楷体_GBK" w:cs="方正楷体_GBK"/>
                <w:color w:val="000000"/>
                <w:sz w:val="28"/>
                <w:szCs w:val="28"/>
              </w:rPr>
            </w:pPr>
            <w:r>
              <w:rPr>
                <w:rFonts w:hint="eastAsia" w:ascii="方正楷体_GBK" w:eastAsia="方正楷体_GBK" w:cs="方正楷体_GBK"/>
                <w:color w:val="000000"/>
                <w:kern w:val="0"/>
                <w:sz w:val="28"/>
                <w:szCs w:val="28"/>
              </w:rPr>
              <w:t>二类产品注册人制度新开办（注册人生产地址第一次检查、受托企业新开办）</w:t>
            </w:r>
          </w:p>
        </w:tc>
        <w:tc>
          <w:tcPr>
            <w:tcW w:w="230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方正楷体_GBK" w:eastAsia="方正楷体_GBK" w:cs="方正楷体_GBK"/>
                <w:color w:val="000000"/>
                <w:sz w:val="28"/>
                <w:szCs w:val="28"/>
              </w:rPr>
            </w:pPr>
            <w:r>
              <w:rPr>
                <w:rFonts w:hint="eastAsia" w:ascii="方正楷体_GBK" w:eastAsia="方正楷体_GBK" w:cs="方正楷体_GBK"/>
                <w:color w:val="000000"/>
                <w:kern w:val="0"/>
                <w:sz w:val="28"/>
                <w:szCs w:val="28"/>
              </w:rPr>
              <w:t>同城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102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cs="Times New Roman"/>
                <w:color w:val="000000"/>
                <w:sz w:val="28"/>
                <w:szCs w:val="28"/>
              </w:rPr>
            </w:pPr>
            <w:r>
              <w:rPr>
                <w:rFonts w:ascii="Times New Roman" w:hAnsi="Times New Roman" w:cs="Times New Roman"/>
                <w:color w:val="000000"/>
                <w:kern w:val="0"/>
                <w:sz w:val="28"/>
                <w:szCs w:val="28"/>
              </w:rPr>
              <w:t>4</w:t>
            </w:r>
          </w:p>
        </w:tc>
        <w:tc>
          <w:tcPr>
            <w:tcW w:w="28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方正楷体_GBK" w:eastAsia="方正楷体_GBK" w:cs="方正楷体_GBK"/>
                <w:color w:val="000000"/>
                <w:sz w:val="28"/>
                <w:szCs w:val="28"/>
              </w:rPr>
            </w:pPr>
            <w:r>
              <w:rPr>
                <w:rFonts w:hint="eastAsia" w:ascii="方正楷体_GBK" w:eastAsia="方正楷体_GBK" w:cs="方正楷体_GBK"/>
                <w:color w:val="000000"/>
                <w:kern w:val="0"/>
                <w:sz w:val="28"/>
                <w:szCs w:val="28"/>
              </w:rPr>
              <w:t>第二、三类医疗器械生产许可证许可事项变更</w:t>
            </w:r>
          </w:p>
        </w:tc>
        <w:tc>
          <w:tcPr>
            <w:tcW w:w="271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textAlignment w:val="center"/>
              <w:rPr>
                <w:rFonts w:ascii="方正楷体_GBK" w:eastAsia="方正楷体_GBK" w:cs="方正楷体_GBK"/>
                <w:color w:val="000000"/>
                <w:sz w:val="28"/>
                <w:szCs w:val="28"/>
              </w:rPr>
            </w:pPr>
            <w:r>
              <w:rPr>
                <w:rFonts w:hint="eastAsia" w:ascii="方正楷体_GBK" w:eastAsia="方正楷体_GBK" w:cs="方正楷体_GBK"/>
                <w:color w:val="000000"/>
                <w:kern w:val="0"/>
                <w:sz w:val="28"/>
                <w:szCs w:val="28"/>
              </w:rPr>
              <w:t>增加生产范围</w:t>
            </w:r>
          </w:p>
        </w:tc>
        <w:tc>
          <w:tcPr>
            <w:tcW w:w="230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方正楷体_GBK" w:eastAsia="方正楷体_GBK" w:cs="方正楷体_GBK"/>
                <w:color w:val="000000"/>
                <w:sz w:val="28"/>
                <w:szCs w:val="28"/>
              </w:rPr>
            </w:pPr>
            <w:r>
              <w:rPr>
                <w:rFonts w:hint="eastAsia" w:ascii="方正楷体_GBK" w:eastAsia="方正楷体_GBK" w:cs="方正楷体_GBK"/>
                <w:color w:val="000000"/>
                <w:kern w:val="0"/>
                <w:sz w:val="28"/>
                <w:szCs w:val="28"/>
              </w:rPr>
              <w:t>同城</w:t>
            </w:r>
          </w:p>
        </w:tc>
      </w:tr>
    </w:tbl>
    <w:p>
      <w:pPr>
        <w:adjustRightInd w:val="0"/>
        <w:snapToGrid w:val="0"/>
        <w:spacing w:line="440" w:lineRule="exact"/>
        <w:jc w:val="center"/>
        <w:textAlignment w:val="center"/>
        <w:rPr>
          <w:rFonts w:ascii="Times New Roman" w:hAnsi="Times New Roman" w:eastAsia="方正黑体_GBK" w:cs="方正黑体_GBK"/>
          <w:sz w:val="28"/>
          <w:szCs w:val="28"/>
        </w:rPr>
      </w:pPr>
    </w:p>
    <w:p>
      <w:pPr>
        <w:adjustRightInd w:val="0"/>
        <w:snapToGrid w:val="0"/>
        <w:spacing w:line="590" w:lineRule="exact"/>
        <w:jc w:val="left"/>
        <w:rPr>
          <w:rFonts w:ascii="Times New Roman" w:hAnsi="Times New Roman" w:eastAsia="方正黑体_GBK" w:cs="方正小标宋_GBK"/>
          <w:sz w:val="32"/>
          <w:szCs w:val="32"/>
        </w:rPr>
      </w:pPr>
      <w:r>
        <w:rPr>
          <w:rFonts w:hint="eastAsia" w:ascii="Times New Roman" w:hAnsi="Times New Roman" w:eastAsia="方正黑体_GBK" w:cs="方正小标宋_GBK"/>
          <w:sz w:val="32"/>
          <w:szCs w:val="32"/>
        </w:rPr>
        <w:t>二、二类审评赋权事项</w:t>
      </w:r>
    </w:p>
    <w:tbl>
      <w:tblPr>
        <w:tblStyle w:val="9"/>
        <w:tblW w:w="880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15" w:type="dxa"/>
          <w:left w:w="15" w:type="dxa"/>
          <w:bottom w:w="15" w:type="dxa"/>
          <w:right w:w="15" w:type="dxa"/>
        </w:tblCellMar>
      </w:tblPr>
      <w:tblGrid>
        <w:gridCol w:w="1243"/>
        <w:gridCol w:w="2463"/>
        <w:gridCol w:w="509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cantSplit/>
          <w:trHeight w:val="761" w:hRule="atLeast"/>
          <w:tblHeader/>
        </w:trPr>
        <w:tc>
          <w:tcPr>
            <w:tcW w:w="12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黑体_GBK" w:cs="方正黑体_GBK"/>
                <w:sz w:val="28"/>
                <w:szCs w:val="28"/>
              </w:rPr>
            </w:pPr>
            <w:r>
              <w:rPr>
                <w:rFonts w:hint="eastAsia" w:ascii="Times New Roman" w:hAnsi="Times New Roman" w:eastAsia="方正黑体_GBK" w:cs="方正黑体_GBK"/>
                <w:sz w:val="28"/>
                <w:szCs w:val="28"/>
              </w:rPr>
              <w:t>序号</w:t>
            </w:r>
          </w:p>
        </w:tc>
        <w:tc>
          <w:tcPr>
            <w:tcW w:w="246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黑体_GBK" w:cs="方正黑体_GBK"/>
                <w:sz w:val="28"/>
                <w:szCs w:val="28"/>
              </w:rPr>
            </w:pPr>
            <w:r>
              <w:rPr>
                <w:rFonts w:hint="eastAsia" w:ascii="Times New Roman" w:hAnsi="Times New Roman" w:eastAsia="方正黑体_GBK" w:cs="方正黑体_GBK"/>
                <w:sz w:val="28"/>
                <w:szCs w:val="28"/>
              </w:rPr>
              <w:t>业务事项</w:t>
            </w:r>
          </w:p>
        </w:tc>
        <w:tc>
          <w:tcPr>
            <w:tcW w:w="50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黑体_GBK" w:cs="方正黑体_GBK"/>
                <w:sz w:val="28"/>
                <w:szCs w:val="28"/>
              </w:rPr>
            </w:pPr>
            <w:r>
              <w:rPr>
                <w:rFonts w:hint="eastAsia" w:ascii="Times New Roman" w:hAnsi="Times New Roman" w:eastAsia="方正黑体_GBK" w:cs="方正黑体_GBK"/>
                <w:sz w:val="28"/>
                <w:szCs w:val="28"/>
              </w:rPr>
              <w:t>业务子项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230" w:hRule="atLeast"/>
        </w:trPr>
        <w:tc>
          <w:tcPr>
            <w:tcW w:w="12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1</w:t>
            </w:r>
          </w:p>
        </w:tc>
        <w:tc>
          <w:tcPr>
            <w:tcW w:w="246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药品上市后场地变更管理</w:t>
            </w:r>
          </w:p>
        </w:tc>
        <w:tc>
          <w:tcPr>
            <w:tcW w:w="50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低风险类药品场地变更审评（包括中药饮片、医用氧气等）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104" w:hRule="atLeast"/>
        </w:trPr>
        <w:tc>
          <w:tcPr>
            <w:tcW w:w="12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2</w:t>
            </w:r>
          </w:p>
        </w:tc>
        <w:tc>
          <w:tcPr>
            <w:tcW w:w="246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医疗机构制剂补充申请</w:t>
            </w:r>
          </w:p>
        </w:tc>
        <w:tc>
          <w:tcPr>
            <w:tcW w:w="50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改变影响制剂质量的配制工艺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237" w:hRule="atLeast"/>
        </w:trPr>
        <w:tc>
          <w:tcPr>
            <w:tcW w:w="12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3</w:t>
            </w:r>
          </w:p>
        </w:tc>
        <w:tc>
          <w:tcPr>
            <w:tcW w:w="75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医疗机构运用传统工艺配制中药制剂</w:t>
            </w:r>
            <w:r>
              <w:rPr>
                <w:rFonts w:hint="eastAsia" w:ascii="Times New Roman" w:hAnsi="Times New Roman" w:eastAsia="方正楷体_GBK" w:cs="方正楷体_GBK"/>
                <w:sz w:val="28"/>
                <w:szCs w:val="28"/>
              </w:rPr>
              <w:t>备案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094" w:hRule="atLeast"/>
        </w:trPr>
        <w:tc>
          <w:tcPr>
            <w:tcW w:w="12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4</w:t>
            </w:r>
          </w:p>
        </w:tc>
        <w:tc>
          <w:tcPr>
            <w:tcW w:w="246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第二类医疗器械许可事项变更</w:t>
            </w:r>
          </w:p>
        </w:tc>
        <w:tc>
          <w:tcPr>
            <w:tcW w:w="50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产品名称变更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096" w:hRule="atLeast"/>
        </w:trPr>
        <w:tc>
          <w:tcPr>
            <w:tcW w:w="12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5</w:t>
            </w:r>
          </w:p>
        </w:tc>
        <w:tc>
          <w:tcPr>
            <w:tcW w:w="24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tc>
        <w:tc>
          <w:tcPr>
            <w:tcW w:w="50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产品名称为敷料或导管的器械型号、规格变更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272" w:hRule="atLeast"/>
        </w:trPr>
        <w:tc>
          <w:tcPr>
            <w:tcW w:w="12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6</w:t>
            </w:r>
          </w:p>
        </w:tc>
        <w:tc>
          <w:tcPr>
            <w:tcW w:w="246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第二类体外诊断试剂许可事项变更注册</w:t>
            </w:r>
          </w:p>
        </w:tc>
        <w:tc>
          <w:tcPr>
            <w:tcW w:w="50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产品名称变化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272" w:hRule="atLeast"/>
        </w:trPr>
        <w:tc>
          <w:tcPr>
            <w:tcW w:w="12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7</w:t>
            </w:r>
          </w:p>
        </w:tc>
        <w:tc>
          <w:tcPr>
            <w:tcW w:w="24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tc>
        <w:tc>
          <w:tcPr>
            <w:tcW w:w="50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包装规格变化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272" w:hRule="atLeast"/>
        </w:trPr>
        <w:tc>
          <w:tcPr>
            <w:tcW w:w="12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8</w:t>
            </w:r>
          </w:p>
        </w:tc>
        <w:tc>
          <w:tcPr>
            <w:tcW w:w="24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tc>
        <w:tc>
          <w:tcPr>
            <w:tcW w:w="50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产品储存条件及有效期变化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272" w:hRule="atLeast"/>
        </w:trPr>
        <w:tc>
          <w:tcPr>
            <w:tcW w:w="12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9</w:t>
            </w:r>
          </w:p>
        </w:tc>
        <w:tc>
          <w:tcPr>
            <w:tcW w:w="24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tc>
        <w:tc>
          <w:tcPr>
            <w:tcW w:w="50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适用仪器变化</w:t>
            </w:r>
          </w:p>
        </w:tc>
      </w:tr>
    </w:tbl>
    <w:p>
      <w:pPr>
        <w:adjustRightInd w:val="0"/>
        <w:snapToGrid w:val="0"/>
        <w:spacing w:line="590" w:lineRule="exact"/>
        <w:jc w:val="left"/>
        <w:rPr>
          <w:rFonts w:ascii="Times New Roman" w:hAnsi="Times New Roman" w:eastAsia="方正黑体_GBK" w:cs="方正小标宋_GBK"/>
          <w:sz w:val="32"/>
          <w:szCs w:val="32"/>
        </w:rPr>
      </w:pPr>
      <w:r>
        <w:rPr>
          <w:rFonts w:hint="eastAsia" w:ascii="Times New Roman" w:hAnsi="Times New Roman" w:eastAsia="方正黑体_GBK" w:cs="方正小标宋_GBK"/>
          <w:sz w:val="32"/>
          <w:szCs w:val="32"/>
        </w:rPr>
        <w:t>三、二类核查赋权事项</w:t>
      </w:r>
    </w:p>
    <w:tbl>
      <w:tblPr>
        <w:tblStyle w:val="9"/>
        <w:tblW w:w="880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15" w:type="dxa"/>
          <w:left w:w="15" w:type="dxa"/>
          <w:bottom w:w="15" w:type="dxa"/>
          <w:right w:w="15" w:type="dxa"/>
        </w:tblCellMar>
      </w:tblPr>
      <w:tblGrid>
        <w:gridCol w:w="1098"/>
        <w:gridCol w:w="2603"/>
        <w:gridCol w:w="2268"/>
        <w:gridCol w:w="28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964" w:hRule="atLeast"/>
          <w:tblHeader/>
        </w:trPr>
        <w:tc>
          <w:tcPr>
            <w:tcW w:w="1098" w:type="dxa"/>
            <w:shd w:val="clear" w:color="auto" w:fill="auto"/>
            <w:vAlign w:val="center"/>
          </w:tcPr>
          <w:p>
            <w:pPr>
              <w:adjustRightInd w:val="0"/>
              <w:snapToGrid w:val="0"/>
              <w:spacing w:line="440" w:lineRule="exact"/>
              <w:jc w:val="center"/>
              <w:textAlignment w:val="center"/>
              <w:rPr>
                <w:rFonts w:ascii="Times New Roman" w:hAnsi="Times New Roman" w:eastAsia="方正黑体_GBK" w:cs="方正黑体_GBK"/>
                <w:sz w:val="28"/>
                <w:szCs w:val="28"/>
              </w:rPr>
            </w:pPr>
            <w:r>
              <w:rPr>
                <w:rFonts w:hint="eastAsia" w:ascii="Times New Roman" w:hAnsi="Times New Roman" w:eastAsia="方正黑体_GBK" w:cs="方正黑体_GBK"/>
                <w:sz w:val="28"/>
                <w:szCs w:val="28"/>
              </w:rPr>
              <w:t>序号</w:t>
            </w:r>
          </w:p>
        </w:tc>
        <w:tc>
          <w:tcPr>
            <w:tcW w:w="2603" w:type="dxa"/>
            <w:shd w:val="clear" w:color="auto" w:fill="auto"/>
            <w:vAlign w:val="center"/>
          </w:tcPr>
          <w:p>
            <w:pPr>
              <w:adjustRightInd w:val="0"/>
              <w:snapToGrid w:val="0"/>
              <w:spacing w:line="440" w:lineRule="exact"/>
              <w:jc w:val="center"/>
              <w:textAlignment w:val="center"/>
              <w:rPr>
                <w:rFonts w:ascii="Times New Roman" w:hAnsi="Times New Roman" w:eastAsia="方正黑体_GBK" w:cs="方正黑体_GBK"/>
                <w:sz w:val="28"/>
                <w:szCs w:val="28"/>
              </w:rPr>
            </w:pPr>
            <w:r>
              <w:rPr>
                <w:rFonts w:hint="eastAsia" w:ascii="Times New Roman" w:hAnsi="Times New Roman" w:eastAsia="方正黑体_GBK" w:cs="方正黑体_GBK"/>
                <w:sz w:val="28"/>
                <w:szCs w:val="28"/>
              </w:rPr>
              <w:t>业务事项</w:t>
            </w:r>
          </w:p>
        </w:tc>
        <w:tc>
          <w:tcPr>
            <w:tcW w:w="2268" w:type="dxa"/>
            <w:shd w:val="clear" w:color="auto" w:fill="auto"/>
            <w:vAlign w:val="center"/>
          </w:tcPr>
          <w:p>
            <w:pPr>
              <w:adjustRightInd w:val="0"/>
              <w:snapToGrid w:val="0"/>
              <w:spacing w:line="440" w:lineRule="exact"/>
              <w:jc w:val="center"/>
              <w:textAlignment w:val="center"/>
              <w:rPr>
                <w:rFonts w:ascii="Times New Roman" w:hAnsi="Times New Roman" w:eastAsia="方正黑体_GBK" w:cs="方正黑体_GBK"/>
                <w:sz w:val="28"/>
                <w:szCs w:val="28"/>
              </w:rPr>
            </w:pPr>
            <w:r>
              <w:rPr>
                <w:rFonts w:hint="eastAsia" w:ascii="Times New Roman" w:hAnsi="Times New Roman" w:eastAsia="方正黑体_GBK" w:cs="方正黑体_GBK"/>
                <w:sz w:val="28"/>
                <w:szCs w:val="28"/>
              </w:rPr>
              <w:t>业务子项</w:t>
            </w:r>
          </w:p>
        </w:tc>
        <w:tc>
          <w:tcPr>
            <w:tcW w:w="2835" w:type="dxa"/>
            <w:shd w:val="clear" w:color="auto" w:fill="auto"/>
            <w:vAlign w:val="center"/>
          </w:tcPr>
          <w:p>
            <w:pPr>
              <w:adjustRightInd w:val="0"/>
              <w:snapToGrid w:val="0"/>
              <w:spacing w:line="440" w:lineRule="exact"/>
              <w:jc w:val="center"/>
              <w:textAlignment w:val="center"/>
              <w:rPr>
                <w:rFonts w:ascii="Times New Roman" w:hAnsi="Times New Roman" w:eastAsia="方正黑体_GBK" w:cs="方正黑体_GBK"/>
                <w:sz w:val="28"/>
                <w:szCs w:val="28"/>
              </w:rPr>
            </w:pPr>
            <w:r>
              <w:rPr>
                <w:rFonts w:hint="eastAsia" w:ascii="Times New Roman" w:hAnsi="Times New Roman" w:eastAsia="方正黑体_GBK" w:cs="方正黑体_GBK"/>
                <w:sz w:val="28"/>
                <w:szCs w:val="28"/>
              </w:rPr>
              <w:t>业务子项细分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972"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1</w:t>
            </w:r>
          </w:p>
        </w:tc>
        <w:tc>
          <w:tcPr>
            <w:tcW w:w="260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药品上市后场地变更管理</w:t>
            </w: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国内药品生产企业改变药品生产场地</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低风险类药品场地变更（包括原料药、中药饮片、医用氧气等）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298"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2</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药品恢复生产</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药品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88"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3</w:t>
            </w:r>
          </w:p>
        </w:tc>
        <w:tc>
          <w:tcPr>
            <w:tcW w:w="260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药品生产许可证核发</w:t>
            </w: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药品生产许可证核发（药品上市许可持有人自行生产的情形）</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药品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88"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4</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药品生产许可证核发 （药品生产企业接受委托生产的情形）</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药品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752"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5</w:t>
            </w:r>
          </w:p>
        </w:tc>
        <w:tc>
          <w:tcPr>
            <w:tcW w:w="260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药品生产许可证变更</w:t>
            </w:r>
          </w:p>
        </w:tc>
        <w:tc>
          <w:tcPr>
            <w:tcW w:w="2268" w:type="dxa"/>
            <w:tcBorders>
              <w:left w:val="single" w:color="auto" w:sz="4" w:space="0"/>
              <w:bottom w:val="nil"/>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trike/>
                <w:dstrike w:val="0"/>
                <w:sz w:val="28"/>
                <w:szCs w:val="28"/>
              </w:rPr>
            </w:pPr>
            <w:r>
              <w:rPr>
                <w:rFonts w:hint="eastAsia" w:ascii="Times New Roman" w:hAnsi="Times New Roman" w:eastAsia="方正楷体_GBK" w:cs="方正楷体_GBK"/>
                <w:sz w:val="28"/>
                <w:szCs w:val="28"/>
              </w:rPr>
              <w:t>增加生产地址、生产范围（药品上市许可持有人自行生产或药品生产企业受托生产的情形）</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新增无菌原料药、无菌制剂、疫苗的生产范围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888"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highlight w:val="green"/>
              </w:rPr>
            </w:pPr>
            <w:r>
              <w:rPr>
                <w:rFonts w:ascii="Times New Roman" w:hAnsi="Times New Roman" w:eastAsia="方正楷体_GBK" w:cs="方正楷体_GBK"/>
                <w:sz w:val="28"/>
                <w:szCs w:val="28"/>
              </w:rPr>
              <w:t>6</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B</w:t>
            </w:r>
            <w:r>
              <w:rPr>
                <w:rFonts w:hint="eastAsia" w:ascii="Times New Roman" w:hAnsi="Times New Roman" w:eastAsia="方正楷体_GBK" w:cs="方正楷体_GBK"/>
                <w:sz w:val="28"/>
                <w:szCs w:val="28"/>
              </w:rPr>
              <w:t>证持有人增加委托生产事项</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新增委托生产事项（受托方未接受GMP符合性检查）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967"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7</w:t>
            </w:r>
          </w:p>
        </w:tc>
        <w:tc>
          <w:tcPr>
            <w:tcW w:w="487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出具出口欧盟原料药证明文件</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原料药（除无菌原料药）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250"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8</w:t>
            </w:r>
          </w:p>
        </w:tc>
        <w:tc>
          <w:tcPr>
            <w:tcW w:w="2603"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药品经营许可证变更</w:t>
            </w:r>
          </w:p>
        </w:tc>
        <w:tc>
          <w:tcPr>
            <w:tcW w:w="510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变更仓库地址、经营范围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226"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9</w:t>
            </w:r>
          </w:p>
        </w:tc>
        <w:tc>
          <w:tcPr>
            <w:tcW w:w="260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第二类医疗器械</w:t>
            </w:r>
          </w:p>
          <w:p>
            <w:pPr>
              <w:adjustRightInd w:val="0"/>
              <w:snapToGrid w:val="0"/>
              <w:spacing w:line="440" w:lineRule="exact"/>
              <w:jc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拟上市产品注册</w:t>
            </w:r>
          </w:p>
        </w:tc>
        <w:tc>
          <w:tcPr>
            <w:tcW w:w="510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自行进行注册检验的企业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88"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10</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委托有资质的检验机构进行注册检验并且采用注册人委托生产方式的企业</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省内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547"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11</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自行进行注册检验并且采用注册人委托生产方式的企业</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同城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010" w:hRule="atLeast"/>
        </w:trPr>
        <w:tc>
          <w:tcPr>
            <w:tcW w:w="1098" w:type="dxa"/>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12</w:t>
            </w:r>
          </w:p>
        </w:tc>
        <w:tc>
          <w:tcPr>
            <w:tcW w:w="7706" w:type="dxa"/>
            <w:gridSpan w:val="3"/>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第二类医疗器械变更注册（可能影响产品有效性的事项）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379"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13</w:t>
            </w:r>
          </w:p>
        </w:tc>
        <w:tc>
          <w:tcPr>
            <w:tcW w:w="260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第二类体外诊断试剂拟上市产品注册</w:t>
            </w:r>
          </w:p>
        </w:tc>
        <w:tc>
          <w:tcPr>
            <w:tcW w:w="510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自行进行注册检验的企业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33"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14</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委托有资质的检验机构进行注册检验并且采用注册人委托生产方式的企业</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省内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88"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15</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自行进行注册检验并且采用注册人委托生产方式的企业</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同城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583" w:hRule="atLeast"/>
        </w:trPr>
        <w:tc>
          <w:tcPr>
            <w:tcW w:w="1098" w:type="dxa"/>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16</w:t>
            </w:r>
          </w:p>
        </w:tc>
        <w:tc>
          <w:tcPr>
            <w:tcW w:w="7706" w:type="dxa"/>
            <w:gridSpan w:val="3"/>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第二类体外诊断试剂许可事项变更注册（可能影响产品有效性的事项）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660"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17</w:t>
            </w:r>
          </w:p>
        </w:tc>
        <w:tc>
          <w:tcPr>
            <w:tcW w:w="260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第二类医疗器械优先注册程序审查认定及注册</w:t>
            </w:r>
          </w:p>
        </w:tc>
        <w:tc>
          <w:tcPr>
            <w:tcW w:w="510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自行生产的企业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99"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18</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委托有资质的检验机构进行注册检验并且采用注册人委托生产方式的企业</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省内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804"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19</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自行进行注册检验并且采用注册人委托生产方式的企业</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同城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946"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20</w:t>
            </w:r>
          </w:p>
        </w:tc>
        <w:tc>
          <w:tcPr>
            <w:tcW w:w="260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第二类医疗器械应急注册程序审查认定及注册</w:t>
            </w:r>
          </w:p>
        </w:tc>
        <w:tc>
          <w:tcPr>
            <w:tcW w:w="510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自行生产的企业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091"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21</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委托有资质的检验机构进行注册检验并且采用注册人委托生产方式的企业</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省内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835"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22</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自行进行注册检验并且采用注册人委托生产方式的企业</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同城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737"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23</w:t>
            </w:r>
          </w:p>
        </w:tc>
        <w:tc>
          <w:tcPr>
            <w:tcW w:w="260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开办第二、三类</w:t>
            </w:r>
          </w:p>
          <w:p>
            <w:pPr>
              <w:adjustRightInd w:val="0"/>
              <w:snapToGrid w:val="0"/>
              <w:spacing w:line="440" w:lineRule="exact"/>
              <w:jc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医疗器械生产企业</w:t>
            </w: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三类产品自行生产新开办</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rPr>
                <w:rFonts w:ascii="Times New Roman" w:hAnsi="Times New Roman" w:eastAsia="方正楷体_GBK" w:cs="方正楷体_GBK"/>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689"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24</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二类产品注册人制度新开办（注册人生产地址第一次检查、受托企业新开办）</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跨市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669"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25</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三类产品注册人制度新开办（注册人生产地址第一次检查、受托企业新开办）</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省内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521"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26</w:t>
            </w:r>
          </w:p>
        </w:tc>
        <w:tc>
          <w:tcPr>
            <w:tcW w:w="260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第二、三类医疗器械生产许可证许可事项变更</w:t>
            </w: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增加生产范围（增加受托二类产品）</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跨市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513"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27</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增加生产范围（增加受托三类产品）</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省内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504"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28</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二类产品生产地址迁移或增加</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跨市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667"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29</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三类产品生产地址迁移或增加</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同城、跨市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681"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30</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二三类产品生产地址减少</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影响生产流程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935"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ascii="Times New Roman" w:hAnsi="Times New Roman" w:eastAsia="方正楷体_GBK" w:cs="方正楷体_GBK"/>
                <w:sz w:val="28"/>
                <w:szCs w:val="28"/>
              </w:rPr>
              <w:t>31</w:t>
            </w:r>
          </w:p>
        </w:tc>
        <w:tc>
          <w:tcPr>
            <w:tcW w:w="2603"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第二、三类医疗器械生产许可证延续</w:t>
            </w:r>
          </w:p>
        </w:tc>
        <w:tc>
          <w:tcPr>
            <w:tcW w:w="510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440" w:lineRule="exact"/>
              <w:jc w:val="center"/>
              <w:textAlignment w:val="center"/>
              <w:rPr>
                <w:rFonts w:ascii="Times New Roman" w:hAnsi="Times New Roman" w:eastAsia="方正楷体_GBK" w:cs="方正楷体_GBK"/>
                <w:sz w:val="28"/>
                <w:szCs w:val="28"/>
              </w:rPr>
            </w:pPr>
            <w:r>
              <w:rPr>
                <w:rFonts w:hint="eastAsia" w:ascii="Times New Roman" w:hAnsi="Times New Roman" w:eastAsia="方正楷体_GBK" w:cs="方正楷体_GBK"/>
                <w:sz w:val="28"/>
                <w:szCs w:val="28"/>
              </w:rPr>
              <w:t>三类生产许可延续</w:t>
            </w:r>
          </w:p>
        </w:tc>
      </w:tr>
    </w:tbl>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spacing w:line="40" w:lineRule="exact"/>
        <w:rPr>
          <w:sz w:val="20"/>
        </w:rPr>
      </w:pPr>
      <w:bookmarkStart w:id="0" w:name="_GoBack"/>
      <w:bookmarkEnd w:id="0"/>
    </w:p>
    <w:sectPr>
      <w:headerReference r:id="rId3" w:type="default"/>
      <w:footerReference r:id="rId4" w:type="default"/>
      <w:pgSz w:w="11906" w:h="16838"/>
      <w:pgMar w:top="1814" w:right="1531" w:bottom="1984" w:left="1531" w:header="720" w:footer="1474"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兰亭黑_GBK">
    <w:altName w:val="Arial Unicode MS"/>
    <w:panose1 w:val="02000000000000000000"/>
    <w:charset w:val="86"/>
    <w:family w:val="script"/>
    <w:pitch w:val="default"/>
    <w:sig w:usb0="00000000" w:usb1="00000000" w:usb2="00080016" w:usb3="00000000" w:csb0="00040001" w:csb1="00000000"/>
  </w:font>
  <w:font w:name="Calibri Light">
    <w:altName w:val="Calibri"/>
    <w:panose1 w:val="020F0302020204030204"/>
    <w:charset w:val="00"/>
    <w:family w:val="swiss"/>
    <w:pitch w:val="default"/>
    <w:sig w:usb0="00000000" w:usb1="00000000" w:usb2="00000000" w:usb3="00000000" w:csb0="0000019F" w:csb1="00000000"/>
  </w:font>
  <w:font w:name="方正小标宋_GBK">
    <w:panose1 w:val="03000509000000000000"/>
    <w:charset w:val="86"/>
    <w:family w:val="auto"/>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微软雅黑">
    <w:panose1 w:val="020B0503020204020204"/>
    <w:charset w:val="86"/>
    <w:family w:val="swiss"/>
    <w:pitch w:val="default"/>
    <w:sig w:usb0="80000287" w:usb1="280F3C52" w:usb2="00000016" w:usb3="00000000" w:csb0="0004001F" w:csb1="00000000"/>
  </w:font>
  <w:font w:name="Times New Roman Regular">
    <w:altName w:val="Times New Roman"/>
    <w:panose1 w:val="00000000000000000000"/>
    <w:charset w:val="00"/>
    <w:family w:val="auto"/>
    <w:pitch w:val="default"/>
    <w:sig w:usb0="00000000" w:usb1="00000000" w:usb2="00000000" w:usb3="00000000" w:csb0="00000000" w:csb1="00000000"/>
  </w:font>
  <w:font w:name="方正楷体_GBK">
    <w:panose1 w:val="03000509000000000000"/>
    <w:charset w:val="86"/>
    <w:family w:val="script"/>
    <w:pitch w:val="default"/>
    <w:sig w:usb0="00000001" w:usb1="080E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s">
          <w:drawing>
            <wp:anchor distT="0" distB="0" distL="113665" distR="113665" simplePos="0" relativeHeight="251659264" behindDoc="0" locked="0" layoutInCell="1" allowOverlap="1">
              <wp:simplePos x="0" y="0"/>
              <wp:positionH relativeFrom="margin">
                <wp:align>outside</wp:align>
              </wp:positionH>
              <wp:positionV relativeFrom="paragraph">
                <wp:posOffset>0</wp:posOffset>
              </wp:positionV>
              <wp:extent cx="619760" cy="255905"/>
              <wp:effectExtent l="0" t="0" r="0" b="0"/>
              <wp:wrapNone/>
              <wp:docPr id="1" name="文本框 5"/>
              <wp:cNvGraphicFramePr/>
              <a:graphic xmlns:a="http://schemas.openxmlformats.org/drawingml/2006/main">
                <a:graphicData uri="http://schemas.microsoft.com/office/word/2010/wordprocessingShape">
                  <wps:wsp>
                    <wps:cNvSpPr/>
                    <wps:spPr>
                      <a:xfrm>
                        <a:off x="0" y="0"/>
                        <a:ext cx="619512" cy="256151"/>
                      </a:xfrm>
                      <a:prstGeom prst="rect">
                        <a:avLst/>
                      </a:prstGeom>
                      <a:noFill/>
                      <a:ln w="6350" cap="flat" cmpd="sng">
                        <a:noFill/>
                        <a:prstDash val="solid"/>
                        <a:round/>
                      </a:ln>
                    </wps:spPr>
                    <wps:txbx>
                      <w:txbxContent>
                        <w:p>
                          <w:pPr>
                            <w:pStyle w:val="6"/>
                            <w:rPr>
                              <w:rFonts w:ascii="方正仿宋_GBK" w:eastAsia="方正仿宋_GBK" w:cs="方正仿宋_GBK"/>
                              <w:sz w:val="28"/>
                              <w:szCs w:val="28"/>
                            </w:rPr>
                          </w:pPr>
                          <w:r>
                            <w:rPr>
                              <w:rFonts w:hint="eastAsia" w:ascii="方正仿宋_GBK" w:eastAsia="方正仿宋_GBK" w:cs="方正仿宋_GBK"/>
                              <w:sz w:val="28"/>
                              <w:szCs w:val="28"/>
                            </w:rPr>
                            <w:t xml:space="preserve">— </w:t>
                          </w:r>
                          <w:r>
                            <w:rPr>
                              <w:rFonts w:hint="eastAsia" w:ascii="方正仿宋_GBK" w:eastAsia="方正仿宋_GBK" w:cs="方正仿宋_GBK"/>
                              <w:sz w:val="28"/>
                              <w:szCs w:val="28"/>
                            </w:rPr>
                            <w:fldChar w:fldCharType="begin"/>
                          </w:r>
                          <w:r>
                            <w:rPr>
                              <w:rFonts w:hint="eastAsia" w:ascii="方正仿宋_GBK" w:eastAsia="方正仿宋_GBK" w:cs="方正仿宋_GBK"/>
                              <w:sz w:val="28"/>
                              <w:szCs w:val="28"/>
                            </w:rPr>
                            <w:instrText xml:space="preserve"> PAGE  \* MERGEFORMAT </w:instrText>
                          </w:r>
                          <w:r>
                            <w:rPr>
                              <w:rFonts w:hint="eastAsia" w:ascii="方正仿宋_GBK" w:eastAsia="方正仿宋_GBK" w:cs="方正仿宋_GBK"/>
                              <w:sz w:val="28"/>
                              <w:szCs w:val="28"/>
                            </w:rPr>
                            <w:fldChar w:fldCharType="separate"/>
                          </w:r>
                          <w:r>
                            <w:rPr>
                              <w:rFonts w:ascii="方正仿宋_GBK" w:eastAsia="方正仿宋_GBK" w:cs="方正仿宋_GBK"/>
                              <w:sz w:val="28"/>
                              <w:szCs w:val="28"/>
                            </w:rPr>
                            <w:t>7</w:t>
                          </w:r>
                          <w:r>
                            <w:rPr>
                              <w:rFonts w:hint="eastAsia" w:ascii="方正仿宋_GBK" w:eastAsia="方正仿宋_GBK" w:cs="方正仿宋_GBK"/>
                              <w:sz w:val="28"/>
                              <w:szCs w:val="28"/>
                            </w:rPr>
                            <w:fldChar w:fldCharType="end"/>
                          </w:r>
                          <w:r>
                            <w:rPr>
                              <w:rFonts w:hint="eastAsia" w:ascii="方正仿宋_GBK" w:eastAsia="方正仿宋_GBK" w:cs="方正仿宋_GBK"/>
                              <w:sz w:val="28"/>
                              <w:szCs w:val="28"/>
                            </w:rPr>
                            <w:t xml:space="preserve"> —</w:t>
                          </w:r>
                        </w:p>
                      </w:txbxContent>
                    </wps:txbx>
                    <wps:bodyPr vert="horz" wrap="none" lIns="0" tIns="0" rIns="0" bIns="0" anchor="t" anchorCtr="0" upright="0">
                      <a:spAutoFit/>
                    </wps:bodyPr>
                  </wps:wsp>
                </a:graphicData>
              </a:graphic>
            </wp:anchor>
          </w:drawing>
        </mc:Choice>
        <mc:Fallback>
          <w:pict>
            <v:rect id="文本框 5" o:spid="_x0000_s1026" o:spt="1" style="position:absolute;left:0pt;margin-top:0pt;height:20.15pt;width:48.8pt;mso-position-horizontal:outside;mso-position-horizontal-relative:margin;mso-wrap-style:none;z-index:251659264;mso-width-relative:page;mso-height-relative:page;" filled="f" stroked="f" coordsize="21600,21600" o:gfxdata="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AAAA&#10;AGRycy9QSwECFAAUAAAACACHTuJA7c5TzdcAAAADAQAADwAAAAAAAAABACAAAAAiAAAAZHJzL2Rv&#10;d25yZXYueG1sUEsBAhQAFAAAAAgAh07iQBFSgLECAgAA9AMAAA4AAAAAAAAAAQAgAAAAJgEAAGRy&#10;cy9lMm9Eb2MueG1sUEsFBgAAAAAGAAYAWQEAAJoFAAAAAA==&#10;">
              <v:fill on="f" focussize="0,0"/>
              <v:stroke on="f" weight="0.5pt" joinstyle="round"/>
              <v:imagedata o:title=""/>
              <o:lock v:ext="edit" aspectratio="f"/>
              <v:textbox inset="0mm,0mm,0mm,0mm" style="mso-fit-shape-to-text:t;">
                <w:txbxContent>
                  <w:p>
                    <w:pPr>
                      <w:pStyle w:val="6"/>
                      <w:rPr>
                        <w:rFonts w:ascii="方正仿宋_GBK" w:eastAsia="方正仿宋_GBK" w:cs="方正仿宋_GBK"/>
                        <w:sz w:val="28"/>
                        <w:szCs w:val="28"/>
                      </w:rPr>
                    </w:pPr>
                    <w:r>
                      <w:rPr>
                        <w:rFonts w:hint="eastAsia" w:ascii="方正仿宋_GBK" w:eastAsia="方正仿宋_GBK" w:cs="方正仿宋_GBK"/>
                        <w:sz w:val="28"/>
                        <w:szCs w:val="28"/>
                      </w:rPr>
                      <w:t xml:space="preserve">— </w:t>
                    </w:r>
                    <w:r>
                      <w:rPr>
                        <w:rFonts w:hint="eastAsia" w:ascii="方正仿宋_GBK" w:eastAsia="方正仿宋_GBK" w:cs="方正仿宋_GBK"/>
                        <w:sz w:val="28"/>
                        <w:szCs w:val="28"/>
                      </w:rPr>
                      <w:fldChar w:fldCharType="begin"/>
                    </w:r>
                    <w:r>
                      <w:rPr>
                        <w:rFonts w:hint="eastAsia" w:ascii="方正仿宋_GBK" w:eastAsia="方正仿宋_GBK" w:cs="方正仿宋_GBK"/>
                        <w:sz w:val="28"/>
                        <w:szCs w:val="28"/>
                      </w:rPr>
                      <w:instrText xml:space="preserve"> PAGE  \* MERGEFORMAT </w:instrText>
                    </w:r>
                    <w:r>
                      <w:rPr>
                        <w:rFonts w:hint="eastAsia" w:ascii="方正仿宋_GBK" w:eastAsia="方正仿宋_GBK" w:cs="方正仿宋_GBK"/>
                        <w:sz w:val="28"/>
                        <w:szCs w:val="28"/>
                      </w:rPr>
                      <w:fldChar w:fldCharType="separate"/>
                    </w:r>
                    <w:r>
                      <w:rPr>
                        <w:rFonts w:ascii="方正仿宋_GBK" w:eastAsia="方正仿宋_GBK" w:cs="方正仿宋_GBK"/>
                        <w:sz w:val="28"/>
                        <w:szCs w:val="28"/>
                      </w:rPr>
                      <w:t>7</w:t>
                    </w:r>
                    <w:r>
                      <w:rPr>
                        <w:rFonts w:hint="eastAsia" w:ascii="方正仿宋_GBK" w:eastAsia="方正仿宋_GBK" w:cs="方正仿宋_GBK"/>
                        <w:sz w:val="28"/>
                        <w:szCs w:val="28"/>
                      </w:rPr>
                      <w:fldChar w:fldCharType="end"/>
                    </w:r>
                    <w:r>
                      <w:rPr>
                        <w:rFonts w:hint="eastAsia" w:ascii="方正仿宋_GBK" w:eastAsia="方正仿宋_GBK" w:cs="方正仿宋_GBK"/>
                        <w:sz w:val="28"/>
                        <w:szCs w:val="28"/>
                      </w:rPr>
                      <w:t xml:space="preserve"> —</w:t>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5" w:lineRule="auto"/>
      <w:ind w:firstLine="117"/>
      <w:rPr>
        <w:rFonts w:ascii="微软雅黑" w:eastAsia="微软雅黑" w:cs="微软雅黑"/>
        <w:sz w:val="23"/>
        <w:szCs w:val="23"/>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revisionView w:markup="0"/>
  <w:trackRevisions w:val="1"/>
  <w:documentProtection w:edit="readOnly"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compatSetting w:name="compatibilityMode" w:uri="http://schemas.microsoft.com/office/word" w:val="14"/>
  </w:compat>
  <w:docVars>
    <w:docVar w:name="commondata" w:val="eyJoZGlkIjoiMzZkN2NhOTA2NWM0ZTE3MGI4YTc2ZTMwOWU0YTc2MzMifQ=="/>
    <w:docVar w:name="KGWebUrl" w:val="https://172.26.19.117:8080/yjjoa/tenth/weboffice/webofficex-server.jaction?option=LOADFILE&amp;saveMode=0&amp;savePath=docbody&amp;recordId=5c134e54-9fde-4c23-93c3-684deb63e861"/>
  </w:docVars>
  <w:rsids>
    <w:rsidRoot w:val="00000000"/>
    <w:rsid w:val="045D7785"/>
    <w:rsid w:val="052D4B75"/>
    <w:rsid w:val="1FD33F87"/>
    <w:rsid w:val="22131271"/>
    <w:rsid w:val="2C46226B"/>
    <w:rsid w:val="2CB6422C"/>
    <w:rsid w:val="32C64ED4"/>
    <w:rsid w:val="376A5733"/>
    <w:rsid w:val="54005529"/>
    <w:rsid w:val="615D38C6"/>
    <w:rsid w:val="7A3D151B"/>
    <w:rsid w:val="7DBC0E80"/>
    <w:rsid w:val="7DEE058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宋体"/>
      <w:kern w:val="2"/>
      <w:sz w:val="21"/>
      <w:szCs w:val="21"/>
      <w:lang w:val="en-US" w:eastAsia="zh-CN" w:bidi="ar-SA"/>
    </w:rPr>
  </w:style>
  <w:style w:type="paragraph" w:styleId="2">
    <w:name w:val="heading 1"/>
    <w:basedOn w:val="1"/>
    <w:next w:val="1"/>
    <w:qFormat/>
    <w:uiPriority w:val="0"/>
    <w:pPr>
      <w:keepNext/>
      <w:keepLines/>
      <w:widowControl w:val="0"/>
      <w:spacing w:line="576" w:lineRule="auto"/>
      <w:outlineLvl w:val="0"/>
    </w:pPr>
    <w:rPr>
      <w:b/>
      <w:kern w:val="44"/>
      <w:sz w:val="44"/>
    </w:rPr>
  </w:style>
  <w:style w:type="paragraph" w:styleId="3">
    <w:name w:val="heading 2"/>
    <w:basedOn w:val="1"/>
    <w:next w:val="1"/>
    <w:qFormat/>
    <w:uiPriority w:val="0"/>
    <w:pPr>
      <w:keepNext/>
      <w:keepLines/>
      <w:spacing w:before="260" w:after="260" w:line="415" w:lineRule="auto"/>
      <w:outlineLvl w:val="1"/>
    </w:pPr>
    <w:rPr>
      <w:rFonts w:ascii="方正兰亭黑_GBK" w:hAnsi="方正兰亭黑_GBK" w:eastAsia="黑体"/>
      <w:b/>
      <w:bCs/>
      <w:sz w:val="32"/>
      <w:szCs w:val="32"/>
    </w:rPr>
  </w:style>
  <w:style w:type="paragraph" w:styleId="4">
    <w:name w:val="heading 3"/>
    <w:basedOn w:val="1"/>
    <w:next w:val="1"/>
    <w:qFormat/>
    <w:uiPriority w:val="0"/>
    <w:pPr>
      <w:keepNext/>
      <w:keepLines/>
      <w:spacing w:before="260" w:after="260" w:line="415" w:lineRule="auto"/>
      <w:outlineLvl w:val="2"/>
    </w:pPr>
    <w:rPr>
      <w:b/>
      <w:bCs/>
      <w:sz w:val="32"/>
      <w:szCs w:val="32"/>
    </w:rPr>
  </w:style>
  <w:style w:type="character" w:default="1" w:styleId="10">
    <w:name w:val="Default Paragraph Font"/>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5">
    <w:name w:val="Body Text"/>
    <w:basedOn w:val="1"/>
    <w:qFormat/>
    <w:uiPriority w:val="0"/>
    <w:rPr>
      <w:sz w:val="32"/>
      <w:szCs w:val="32"/>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8">
    <w:name w:val="Title"/>
    <w:basedOn w:val="1"/>
    <w:next w:val="1"/>
    <w:qFormat/>
    <w:uiPriority w:val="0"/>
    <w:pPr>
      <w:spacing w:before="240" w:after="60"/>
      <w:jc w:val="center"/>
      <w:outlineLvl w:val="0"/>
    </w:pPr>
    <w:rPr>
      <w:rFonts w:ascii="Calibri Light" w:hAnsi="Calibri Light" w:cs="Times New Roman"/>
      <w:b/>
      <w:bCs/>
      <w:sz w:val="32"/>
      <w:szCs w:val="32"/>
    </w:rPr>
  </w:style>
  <w:style w:type="paragraph" w:customStyle="1" w:styleId="11">
    <w:name w:val="样式2"/>
    <w:basedOn w:val="2"/>
    <w:qFormat/>
    <w:uiPriority w:val="0"/>
    <w:pPr>
      <w:spacing w:line="480" w:lineRule="exact"/>
      <w:ind w:firstLine="200" w:firstLineChars="200"/>
      <w:jc w:val="center"/>
    </w:pPr>
    <w:rPr>
      <w:rFonts w:ascii="Calibri" w:hAnsi="Calibri" w:eastAsia="方正小标宋_GBK"/>
      <w:sz w:val="32"/>
    </w:rPr>
  </w:style>
  <w:style w:type="paragraph" w:customStyle="1" w:styleId="12">
    <w:name w:val="样式1"/>
    <w:basedOn w:val="2"/>
    <w:qFormat/>
    <w:uiPriority w:val="0"/>
    <w:pPr>
      <w:spacing w:line="480" w:lineRule="exact"/>
      <w:jc w:val="center"/>
    </w:pPr>
    <w:rPr>
      <w:rFonts w:ascii="Calibri" w:hAnsi="Calibri" w:eastAsia="方正小标宋_GBK"/>
      <w:sz w:val="32"/>
    </w:rPr>
  </w:style>
  <w:style w:type="character" w:customStyle="1" w:styleId="13">
    <w:name w:val="font41"/>
    <w:basedOn w:val="10"/>
    <w:qFormat/>
    <w:uiPriority w:val="0"/>
    <w:rPr>
      <w:rFonts w:ascii="Times New Roman" w:hAnsi="Times New Roman" w:cs="Times New Roman"/>
      <w:color w:val="000000"/>
      <w:sz w:val="28"/>
      <w:szCs w:val="28"/>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Normal.eit</Template>
  <Company>Microsoft</Company>
  <Pages>8</Pages>
  <Words>1635</Words>
  <Characters>1679</Characters>
  <Lines>256</Lines>
  <Paragraphs>160</Paragraphs>
  <TotalTime>63</TotalTime>
  <ScaleCrop>false</ScaleCrop>
  <LinksUpToDate>false</LinksUpToDate>
  <CharactersWithSpaces>1700</CharactersWithSpaces>
  <Application>WPS Office_12.1.0.15374_F1E327BC-269C-435d-A152-05C5408002CA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2022-06-25T21:46:00Z</dcterms:created>
  <dc:creator>wangl</dc:creator>
  <cp:lastModifiedBy>文印室(wys)</cp:lastModifiedBy>
  <cp:lastPrinted>2023-09-28T01:38:00Z</cp:lastPrinted>
  <dcterms:modified xsi:type="dcterms:W3CDTF">2023-09-28T08:20:30Z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413ED33AB11E4D8A8920D03CED6A057C_13</vt:lpwstr>
  </property>
</Properties>
</file>