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55A73D">
      <w:pPr>
        <w:adjustRightInd w:val="0"/>
        <w:snapToGrid w:val="0"/>
        <w:spacing w:line="590" w:lineRule="atLeast"/>
        <w:ind w:firstLine="0"/>
        <w:jc w:val="both"/>
        <w:rPr>
          <w:rFonts w:hint="eastAsia" w:ascii="方正黑体_GBK" w:eastAsia="方正黑体_GBK" w:cs="方正黑体_GBK"/>
          <w:color w:val="auto"/>
          <w:sz w:val="32"/>
          <w:szCs w:val="32"/>
        </w:rPr>
      </w:pPr>
      <w:r>
        <w:rPr>
          <w:rFonts w:hint="eastAsia" w:ascii="方正黑体_GBK" w:eastAsia="方正黑体_GBK" w:cs="方正黑体_GBK"/>
          <w:color w:val="auto"/>
          <w:sz w:val="32"/>
          <w:szCs w:val="32"/>
        </w:rPr>
        <w:t>附件</w:t>
      </w:r>
    </w:p>
    <w:p w14:paraId="696E83EC">
      <w:pPr>
        <w:adjustRightInd w:val="0"/>
        <w:snapToGrid w:val="0"/>
        <w:spacing w:line="590" w:lineRule="atLeast"/>
        <w:ind w:firstLine="0"/>
        <w:jc w:val="center"/>
        <w:rPr>
          <w:rFonts w:ascii="Times New Roman" w:hAnsi="Times New Roman" w:eastAsia="仿宋"/>
          <w:color w:val="auto"/>
          <w:sz w:val="44"/>
          <w:szCs w:val="44"/>
        </w:rPr>
      </w:pPr>
      <w:r>
        <w:rPr>
          <w:rFonts w:hint="eastAsia" w:ascii="Times New Roman" w:hAnsi="Times New Roman" w:eastAsia="方正小标宋_GBK"/>
          <w:color w:val="auto"/>
          <w:sz w:val="44"/>
          <w:szCs w:val="44"/>
        </w:rPr>
        <w:t>江苏省医疗器械生产企业质量安全主体责任等级评估标准</w:t>
      </w:r>
    </w:p>
    <w:p w14:paraId="38A8E171">
      <w:pPr>
        <w:adjustRightInd w:val="0"/>
        <w:snapToGrid w:val="0"/>
        <w:spacing w:before="0" w:beforeAutospacing="0" w:after="0" w:afterAutospacing="0" w:line="590" w:lineRule="atLeast"/>
        <w:ind w:left="0" w:firstLine="0" w:firstLineChars="0"/>
        <w:jc w:val="both"/>
        <w:rPr>
          <w:rStyle w:val="5"/>
          <w:rFonts w:ascii="方正仿宋_GBK" w:eastAsia="方正仿宋_GBK" w:cs="方正仿宋_GBK"/>
          <w:color w:val="000000"/>
          <w:sz w:val="32"/>
          <w:szCs w:val="32"/>
        </w:rPr>
      </w:pPr>
    </w:p>
    <w:p w14:paraId="00B31873">
      <w:pPr>
        <w:adjustRightInd w:val="0"/>
        <w:snapToGrid w:val="0"/>
        <w:spacing w:before="0" w:beforeAutospacing="0" w:after="0" w:afterAutospacing="0" w:line="590" w:lineRule="atLeast"/>
        <w:ind w:firstLine="640" w:firstLineChars="200"/>
        <w:jc w:val="both"/>
        <w:rPr>
          <w:rStyle w:val="5"/>
          <w:rFonts w:hint="eastAsia" w:ascii="方正仿宋_GBK" w:eastAsia="方正仿宋_GBK" w:cs="方正仿宋_GBK"/>
          <w:color w:val="000000"/>
          <w:sz w:val="32"/>
          <w:szCs w:val="32"/>
          <w:lang w:val="en-US" w:eastAsia="zh-CN"/>
        </w:rPr>
      </w:pPr>
      <w:r>
        <w:rPr>
          <w:rStyle w:val="5"/>
          <w:rFonts w:hint="eastAsia" w:ascii="方正仿宋_GBK" w:eastAsia="方正仿宋_GBK" w:cs="方正仿宋_GBK"/>
          <w:color w:val="000000"/>
          <w:sz w:val="32"/>
          <w:szCs w:val="32"/>
        </w:rPr>
        <w:t>生产企业对</w:t>
      </w:r>
      <w:r>
        <w:rPr>
          <w:rStyle w:val="5"/>
          <w:rFonts w:hint="eastAsia" w:ascii="方正仿宋_GBK" w:eastAsia="方正仿宋_GBK" w:cs="方正仿宋_GBK"/>
          <w:color w:val="000000"/>
          <w:sz w:val="32"/>
          <w:szCs w:val="32"/>
          <w:lang w:val="en-US" w:eastAsia="zh-CN"/>
        </w:rPr>
        <w:t>上一</w:t>
      </w:r>
      <w:r>
        <w:rPr>
          <w:rStyle w:val="5"/>
          <w:rFonts w:hint="eastAsia" w:ascii="方正仿宋_GBK" w:eastAsia="方正仿宋_GBK" w:cs="方正仿宋_GBK"/>
          <w:color w:val="000000"/>
          <w:sz w:val="32"/>
          <w:szCs w:val="32"/>
        </w:rPr>
        <w:t>年度发生的情况如实进行填报及自评。</w:t>
      </w:r>
      <w:r>
        <w:rPr>
          <w:rStyle w:val="5"/>
          <w:rFonts w:hint="eastAsia" w:ascii="方正仿宋_GBK" w:eastAsia="方正仿宋_GBK" w:cs="方正仿宋_GBK"/>
          <w:color w:val="000000"/>
          <w:sz w:val="32"/>
          <w:szCs w:val="32"/>
          <w:lang w:val="en-US" w:eastAsia="zh-CN"/>
        </w:rPr>
        <w:t>自评对照《企业等级评估评分细则》进行评分，如出现“直接评估为</w:t>
      </w:r>
      <w:r>
        <w:rPr>
          <w:rStyle w:val="5"/>
          <w:rFonts w:hint="default" w:ascii="Times New Roman" w:eastAsia="方正仿宋_GBK" w:cs="Times New Roman"/>
          <w:color w:val="000000"/>
          <w:sz w:val="32"/>
          <w:szCs w:val="32"/>
          <w:lang w:val="en-US" w:eastAsia="zh-CN"/>
        </w:rPr>
        <w:t>C</w:t>
      </w:r>
      <w:r>
        <w:rPr>
          <w:rStyle w:val="5"/>
          <w:rFonts w:hint="eastAsia" w:ascii="方正仿宋_GBK" w:eastAsia="方正仿宋_GBK" w:cs="方正仿宋_GBK"/>
          <w:color w:val="000000"/>
          <w:sz w:val="32"/>
          <w:szCs w:val="32"/>
          <w:lang w:val="en-US" w:eastAsia="zh-CN"/>
        </w:rPr>
        <w:t>级”情形之一的，不再继续打分。</w:t>
      </w:r>
    </w:p>
    <w:tbl>
      <w:tblPr>
        <w:tblStyle w:val="3"/>
        <w:tblW w:w="1538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387"/>
      </w:tblGrid>
      <w:tr w14:paraId="58135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noWrap/>
            <w:vAlign w:val="center"/>
          </w:tcPr>
          <w:p w14:paraId="22FDCAE9">
            <w:pPr>
              <w:keepNext w:val="0"/>
              <w:keepLines w:val="0"/>
              <w:widowControl/>
              <w:numPr>
                <w:ilvl w:val="0"/>
                <w:numId w:val="1"/>
              </w:numPr>
              <w:suppressLineNumbers w:val="0"/>
              <w:adjustRightInd w:val="0"/>
              <w:snapToGrid w:val="0"/>
              <w:spacing w:line="500" w:lineRule="exact"/>
              <w:jc w:val="both"/>
              <w:textAlignment w:val="center"/>
              <w:rPr>
                <w:rFonts w:ascii="方正黑体_GBK" w:eastAsia="方正黑体_GBK" w:cs="方正黑体_GBK"/>
                <w:i w:val="0"/>
                <w:iCs w:val="0"/>
                <w:color w:val="auto"/>
                <w:kern w:val="0"/>
                <w:sz w:val="28"/>
                <w:szCs w:val="28"/>
                <w:u w:val="none"/>
                <w:lang w:val="en-US" w:eastAsia="zh-CN"/>
              </w:rPr>
            </w:pPr>
            <w:r>
              <w:rPr>
                <w:rFonts w:hint="eastAsia" w:ascii="方正黑体_GBK" w:eastAsia="方正黑体_GBK" w:cs="方正黑体_GBK"/>
                <w:i w:val="0"/>
                <w:iCs w:val="0"/>
                <w:color w:val="auto"/>
                <w:kern w:val="0"/>
                <w:sz w:val="28"/>
                <w:szCs w:val="28"/>
                <w:u w:val="none"/>
                <w:lang w:val="en-US" w:eastAsia="zh-CN"/>
              </w:rPr>
              <w:t>直接评估为C情形</w:t>
            </w:r>
          </w:p>
        </w:tc>
      </w:tr>
      <w:tr w14:paraId="04C93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noWrap/>
            <w:vAlign w:val="center"/>
          </w:tcPr>
          <w:p w14:paraId="6A810235">
            <w:pPr>
              <w:keepNext w:val="0"/>
              <w:keepLines w:val="0"/>
              <w:widowControl/>
              <w:suppressLineNumbers w:val="0"/>
              <w:adjustRightInd w:val="0"/>
              <w:snapToGrid w:val="0"/>
              <w:spacing w:line="500" w:lineRule="exact"/>
              <w:jc w:val="both"/>
              <w:textAlignment w:val="center"/>
              <w:rPr>
                <w:rFonts w:hint="eastAsia" w:ascii="Times New Roman" w:hAnsi="Times New Roman" w:eastAsia="方正仿宋_GBK"/>
                <w:color w:val="auto"/>
                <w:sz w:val="28"/>
                <w:szCs w:val="28"/>
                <w:lang w:val="en-US" w:eastAsia="zh-CN"/>
              </w:rPr>
            </w:pPr>
            <w:r>
              <w:rPr>
                <w:rFonts w:hint="eastAsia" w:ascii="Times New Roman" w:hAnsi="Times New Roman" w:eastAsia="方正仿宋_GBK"/>
                <w:color w:val="auto"/>
                <w:sz w:val="28"/>
                <w:szCs w:val="28"/>
                <w:lang w:val="en-US" w:eastAsia="zh-CN"/>
              </w:rPr>
              <w:t>1.</w:t>
            </w:r>
            <w:r>
              <w:rPr>
                <w:rFonts w:hint="eastAsia" w:ascii="Times New Roman" w:hAnsi="Times New Roman" w:eastAsia="方正仿宋_GBK"/>
                <w:color w:val="auto"/>
                <w:sz w:val="28"/>
                <w:szCs w:val="28"/>
              </w:rPr>
              <w:t>在行政许可、</w:t>
            </w:r>
            <w:r>
              <w:rPr>
                <w:rFonts w:hint="eastAsia" w:ascii="Times New Roman" w:hAnsi="Times New Roman" w:eastAsia="方正仿宋_GBK"/>
                <w:color w:val="auto"/>
                <w:sz w:val="28"/>
                <w:szCs w:val="28"/>
                <w:lang w:val="en-US" w:eastAsia="zh-CN"/>
              </w:rPr>
              <w:t>监督检查</w:t>
            </w:r>
            <w:r>
              <w:rPr>
                <w:rFonts w:hint="eastAsia" w:ascii="Times New Roman" w:hAnsi="Times New Roman" w:eastAsia="方正仿宋_GBK"/>
                <w:color w:val="auto"/>
                <w:sz w:val="28"/>
                <w:szCs w:val="28"/>
              </w:rPr>
              <w:t>、监督抽检、投诉举报等</w:t>
            </w:r>
            <w:r>
              <w:rPr>
                <w:rFonts w:hint="eastAsia" w:ascii="Times New Roman" w:hAnsi="Times New Roman" w:eastAsia="方正仿宋_GBK"/>
                <w:color w:val="auto"/>
                <w:sz w:val="28"/>
                <w:szCs w:val="28"/>
                <w:lang w:val="en-US" w:eastAsia="zh-CN"/>
              </w:rPr>
              <w:t>环节中</w:t>
            </w:r>
            <w:r>
              <w:rPr>
                <w:rFonts w:hint="eastAsia" w:ascii="Times New Roman" w:hAnsi="Times New Roman" w:eastAsia="方正仿宋_GBK"/>
                <w:color w:val="auto"/>
                <w:sz w:val="28"/>
                <w:szCs w:val="28"/>
              </w:rPr>
              <w:t>发现违法违规行为</w:t>
            </w:r>
            <w:r>
              <w:rPr>
                <w:rFonts w:hint="eastAsia" w:ascii="Times New Roman" w:hAnsi="Times New Roman" w:eastAsia="方正仿宋_GBK"/>
                <w:color w:val="auto"/>
                <w:sz w:val="28"/>
                <w:szCs w:val="28"/>
                <w:lang w:val="en-US" w:eastAsia="zh-CN"/>
              </w:rPr>
              <w:t>被</w:t>
            </w:r>
            <w:r>
              <w:rPr>
                <w:rFonts w:hint="eastAsia" w:ascii="Times New Roman" w:hAnsi="Times New Roman" w:eastAsia="方正仿宋_GBK"/>
                <w:color w:val="auto"/>
                <w:sz w:val="28"/>
                <w:szCs w:val="28"/>
              </w:rPr>
              <w:t>处罚的； 是</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 xml:space="preserve"> </w:t>
            </w:r>
          </w:p>
        </w:tc>
      </w:tr>
      <w:tr w14:paraId="08003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noWrap/>
            <w:vAlign w:val="center"/>
          </w:tcPr>
          <w:p w14:paraId="6ED0697A">
            <w:pPr>
              <w:keepNext w:val="0"/>
              <w:keepLines w:val="0"/>
              <w:widowControl/>
              <w:suppressLineNumbers w:val="0"/>
              <w:adjustRightInd w:val="0"/>
              <w:snapToGrid w:val="0"/>
              <w:spacing w:line="500" w:lineRule="exact"/>
              <w:jc w:val="both"/>
              <w:textAlignment w:val="center"/>
              <w:rPr>
                <w:rFonts w:ascii="方正黑体_GBK" w:eastAsia="方正黑体_GBK" w:cs="方正黑体_GBK"/>
                <w:b/>
                <w:bCs/>
                <w:i w:val="0"/>
                <w:iCs w:val="0"/>
                <w:color w:val="auto"/>
                <w:kern w:val="0"/>
                <w:sz w:val="28"/>
                <w:szCs w:val="28"/>
                <w:u w:val="none"/>
                <w:lang w:val="en-US" w:eastAsia="zh-CN"/>
              </w:rPr>
            </w:pPr>
            <w:r>
              <w:rPr>
                <w:rFonts w:hint="eastAsia" w:ascii="Times New Roman" w:hAnsi="Times New Roman" w:eastAsia="方正仿宋_GBK"/>
                <w:color w:val="auto"/>
                <w:sz w:val="28"/>
                <w:szCs w:val="28"/>
                <w:lang w:val="en-US" w:eastAsia="zh-CN"/>
              </w:rPr>
              <w:t>2.</w:t>
            </w:r>
            <w:r>
              <w:rPr>
                <w:rFonts w:hint="eastAsia" w:ascii="Times New Roman" w:hAnsi="Times New Roman" w:eastAsia="方正仿宋_GBK"/>
                <w:color w:val="auto"/>
                <w:sz w:val="28"/>
                <w:szCs w:val="28"/>
              </w:rPr>
              <w:t>上市产品因产品质量问题导致</w:t>
            </w:r>
            <w:r>
              <w:rPr>
                <w:rFonts w:hint="eastAsia" w:ascii="Times New Roman" w:hAnsi="Times New Roman" w:eastAsia="方正仿宋_GBK"/>
                <w:color w:val="auto"/>
                <w:sz w:val="28"/>
                <w:szCs w:val="28"/>
                <w:lang w:val="en-US" w:eastAsia="zh-CN"/>
              </w:rPr>
              <w:t>群发的</w:t>
            </w:r>
            <w:r>
              <w:rPr>
                <w:rFonts w:hint="eastAsia" w:ascii="Times New Roman" w:hAnsi="Times New Roman" w:eastAsia="方正仿宋_GBK"/>
                <w:color w:val="auto"/>
                <w:sz w:val="28"/>
                <w:szCs w:val="28"/>
              </w:rPr>
              <w:t>严重</w:t>
            </w:r>
            <w:r>
              <w:rPr>
                <w:rFonts w:hint="eastAsia" w:ascii="Times New Roman" w:hAnsi="Times New Roman" w:eastAsia="方正仿宋_GBK"/>
                <w:color w:val="auto"/>
                <w:sz w:val="28"/>
                <w:szCs w:val="28"/>
                <w:lang w:val="en-US" w:eastAsia="zh-CN"/>
              </w:rPr>
              <w:t>伤害或者死亡的</w:t>
            </w:r>
            <w:r>
              <w:rPr>
                <w:rFonts w:hint="eastAsia" w:ascii="Times New Roman" w:hAnsi="Times New Roman" w:eastAsia="方正仿宋_GBK"/>
                <w:color w:val="auto"/>
                <w:sz w:val="28"/>
                <w:szCs w:val="28"/>
              </w:rPr>
              <w:t>医疗器械不良事件的；</w:t>
            </w:r>
            <w:r>
              <w:rPr>
                <w:rFonts w:hint="eastAsia" w:ascii="Times New Roman" w:hAnsi="Times New Roman" w:eastAsia="方正仿宋_GBK"/>
                <w:color w:val="auto"/>
                <w:sz w:val="28"/>
                <w:szCs w:val="28"/>
                <w:lang w:val="en-US" w:eastAsia="zh-CN"/>
              </w:rPr>
              <w:t xml:space="preserve">     </w:t>
            </w:r>
            <w:r>
              <w:rPr>
                <w:rFonts w:hint="eastAsia" w:ascii="Times New Roman" w:hAnsi="Times New Roman" w:eastAsia="方正仿宋_GBK"/>
                <w:color w:val="auto"/>
                <w:sz w:val="28"/>
                <w:szCs w:val="28"/>
              </w:rPr>
              <w:t>是</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00A3"/>
            </w:r>
            <w:r>
              <w:rPr>
                <w:rFonts w:hint="eastAsia" w:ascii="Times New Roman" w:hAnsi="Times New Roman" w:eastAsia="方正仿宋_GBK"/>
                <w:color w:val="auto"/>
                <w:sz w:val="28"/>
                <w:szCs w:val="28"/>
              </w:rPr>
              <w:t xml:space="preserve"> </w:t>
            </w:r>
          </w:p>
        </w:tc>
      </w:tr>
      <w:tr w14:paraId="4882A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noWrap/>
            <w:vAlign w:val="center"/>
          </w:tcPr>
          <w:p w14:paraId="521AC5C6">
            <w:pPr>
              <w:widowControl/>
              <w:adjustRightInd w:val="0"/>
              <w:snapToGrid w:val="0"/>
              <w:spacing w:line="500" w:lineRule="exact"/>
              <w:jc w:val="both"/>
              <w:rPr>
                <w:rFonts w:hint="eastAsia" w:ascii="Times New Roman" w:hAnsi="Times New Roman" w:eastAsia="方正仿宋_GBK"/>
                <w:color w:val="auto"/>
                <w:sz w:val="28"/>
                <w:szCs w:val="28"/>
                <w:lang w:val="en-US" w:eastAsia="zh-CN"/>
              </w:rPr>
            </w:pPr>
            <w:r>
              <w:rPr>
                <w:rFonts w:hint="eastAsia" w:ascii="Times New Roman" w:hAnsi="Times New Roman" w:eastAsia="方正仿宋_GBK"/>
                <w:color w:val="auto"/>
                <w:sz w:val="28"/>
                <w:szCs w:val="28"/>
                <w:lang w:val="en-US" w:eastAsia="zh-CN"/>
              </w:rPr>
              <w:t>3.</w:t>
            </w:r>
            <w:r>
              <w:rPr>
                <w:rFonts w:hint="eastAsia" w:ascii="Times New Roman" w:hAnsi="Times New Roman" w:eastAsia="方正仿宋_GBK"/>
                <w:color w:val="auto"/>
                <w:sz w:val="28"/>
                <w:szCs w:val="28"/>
              </w:rPr>
              <w:t>因违规行为导致重大舆情</w:t>
            </w:r>
            <w:r>
              <w:rPr>
                <w:rFonts w:hint="eastAsia" w:ascii="Times New Roman" w:hAnsi="Times New Roman" w:eastAsia="方正仿宋_GBK"/>
                <w:color w:val="auto"/>
                <w:sz w:val="28"/>
                <w:szCs w:val="28"/>
                <w:lang w:eastAsia="zh-CN"/>
              </w:rPr>
              <w:t>，</w:t>
            </w:r>
            <w:r>
              <w:rPr>
                <w:rFonts w:hint="eastAsia" w:ascii="Times New Roman" w:hAnsi="Times New Roman" w:eastAsia="方正仿宋_GBK"/>
                <w:color w:val="auto"/>
                <w:sz w:val="28"/>
                <w:szCs w:val="28"/>
              </w:rPr>
              <w:t>造成负面影响或引发重大突发事件的；</w:t>
            </w:r>
            <w:r>
              <w:rPr>
                <w:rFonts w:hint="eastAsia" w:ascii="Times New Roman" w:hAnsi="Times New Roman" w:eastAsia="方正仿宋_GBK"/>
                <w:color w:val="auto"/>
                <w:sz w:val="28"/>
                <w:szCs w:val="28"/>
                <w:lang w:val="en-US" w:eastAsia="zh-CN"/>
              </w:rPr>
              <w:t xml:space="preserve">                 </w:t>
            </w:r>
            <w:r>
              <w:rPr>
                <w:rFonts w:hint="eastAsia" w:ascii="Times New Roman" w:hAnsi="Times New Roman" w:eastAsia="方正仿宋_GBK"/>
                <w:color w:val="auto"/>
                <w:sz w:val="28"/>
                <w:szCs w:val="28"/>
              </w:rPr>
              <w:t>是</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 xml:space="preserve">    </w:t>
            </w:r>
          </w:p>
        </w:tc>
      </w:tr>
      <w:tr w14:paraId="775C8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noWrap/>
            <w:vAlign w:val="center"/>
          </w:tcPr>
          <w:p w14:paraId="0FAFFE6E">
            <w:pPr>
              <w:widowControl/>
              <w:adjustRightInd w:val="0"/>
              <w:snapToGrid w:val="0"/>
              <w:spacing w:line="500" w:lineRule="exact"/>
              <w:jc w:val="both"/>
              <w:rPr>
                <w:rFonts w:hint="eastAsia" w:ascii="Times New Roman" w:hAnsi="Times New Roman" w:eastAsia="方正仿宋_GBK"/>
                <w:color w:val="auto"/>
                <w:sz w:val="28"/>
                <w:szCs w:val="28"/>
                <w:lang w:val="en-US" w:eastAsia="zh-CN"/>
              </w:rPr>
            </w:pPr>
            <w:r>
              <w:rPr>
                <w:rFonts w:hint="eastAsia" w:ascii="Times New Roman" w:hAnsi="Times New Roman" w:eastAsia="方正仿宋_GBK"/>
                <w:color w:val="auto"/>
                <w:sz w:val="28"/>
                <w:szCs w:val="28"/>
                <w:lang w:val="en-US" w:eastAsia="zh-CN"/>
              </w:rPr>
              <w:t>4.</w:t>
            </w:r>
            <w:r>
              <w:rPr>
                <w:rFonts w:hint="eastAsia" w:ascii="Times New Roman" w:hAnsi="Times New Roman" w:eastAsia="方正仿宋_GBK"/>
                <w:color w:val="auto"/>
                <w:sz w:val="28"/>
                <w:szCs w:val="28"/>
              </w:rPr>
              <w:t xml:space="preserve">应召回但未主动召回，被药监部门责令召回上市医疗器械的； </w:t>
            </w:r>
            <w:r>
              <w:rPr>
                <w:rFonts w:hint="eastAsia" w:ascii="Times New Roman" w:hAnsi="Times New Roman" w:eastAsia="方正仿宋_GBK"/>
                <w:color w:val="auto"/>
                <w:sz w:val="28"/>
                <w:szCs w:val="28"/>
                <w:lang w:val="en-US" w:eastAsia="zh-CN"/>
              </w:rPr>
              <w:t xml:space="preserve">                   </w:t>
            </w:r>
            <w:r>
              <w:rPr>
                <w:rFonts w:hint="eastAsia" w:ascii="Times New Roman" w:hAnsi="Times New Roman" w:eastAsia="方正仿宋_GBK"/>
                <w:color w:val="auto"/>
                <w:sz w:val="28"/>
                <w:szCs w:val="28"/>
              </w:rPr>
              <w:t xml:space="preserve"> 是</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F0A3"/>
            </w:r>
          </w:p>
        </w:tc>
      </w:tr>
      <w:tr w14:paraId="06C10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7" w:hRule="atLeast"/>
          <w:jc w:val="center"/>
        </w:trPr>
        <w:tc>
          <w:tcPr>
            <w:tcW w:w="15387" w:type="dxa"/>
            <w:tcBorders>
              <w:top w:val="single" w:color="000000" w:sz="4" w:space="0"/>
              <w:left w:val="single" w:color="000000" w:sz="4" w:space="0"/>
              <w:bottom w:val="single" w:color="000000" w:sz="4" w:space="0"/>
              <w:right w:val="single" w:color="000000" w:sz="4" w:space="0"/>
            </w:tcBorders>
            <w:noWrap/>
            <w:vAlign w:val="center"/>
          </w:tcPr>
          <w:p w14:paraId="0AB33F06">
            <w:pPr>
              <w:widowControl/>
              <w:adjustRightInd w:val="0"/>
              <w:snapToGrid w:val="0"/>
              <w:spacing w:line="500" w:lineRule="exact"/>
              <w:jc w:val="both"/>
              <w:rPr>
                <w:rFonts w:hint="eastAsia" w:ascii="Times New Roman" w:hAnsi="Times New Roman" w:eastAsia="方正仿宋_GBK"/>
                <w:color w:val="auto"/>
                <w:sz w:val="28"/>
                <w:szCs w:val="28"/>
                <w:lang w:val="en-US" w:eastAsia="zh-CN"/>
              </w:rPr>
            </w:pPr>
            <w:r>
              <w:rPr>
                <w:rFonts w:hint="eastAsia" w:ascii="Times New Roman" w:hAnsi="Times New Roman" w:eastAsia="方正仿宋_GBK"/>
                <w:color w:val="auto"/>
                <w:sz w:val="28"/>
                <w:szCs w:val="28"/>
                <w:lang w:val="en-US" w:eastAsia="zh-CN"/>
              </w:rPr>
              <w:t>5.在</w:t>
            </w:r>
            <w:r>
              <w:rPr>
                <w:rFonts w:hint="eastAsia" w:ascii="Times New Roman" w:hAnsi="Times New Roman" w:eastAsia="方正仿宋_GBK"/>
                <w:color w:val="auto"/>
                <w:sz w:val="28"/>
                <w:szCs w:val="28"/>
              </w:rPr>
              <w:t>行政许可、备案、生产经营等过程中提供虚假材料</w:t>
            </w:r>
            <w:r>
              <w:rPr>
                <w:rFonts w:hint="eastAsia" w:ascii="Times New Roman" w:hAnsi="Times New Roman" w:eastAsia="方正仿宋_GBK"/>
                <w:color w:val="auto"/>
                <w:sz w:val="28"/>
                <w:szCs w:val="28"/>
                <w:lang w:val="en-US" w:eastAsia="zh-CN"/>
              </w:rPr>
              <w:t>经查实</w:t>
            </w:r>
            <w:r>
              <w:rPr>
                <w:rFonts w:hint="eastAsia" w:ascii="Times New Roman" w:hAnsi="Times New Roman" w:eastAsia="方正仿宋_GBK"/>
                <w:color w:val="auto"/>
                <w:sz w:val="28"/>
                <w:szCs w:val="28"/>
              </w:rPr>
              <w:t xml:space="preserve">的；         </w:t>
            </w:r>
            <w:r>
              <w:rPr>
                <w:rFonts w:hint="eastAsia" w:ascii="Times New Roman" w:hAnsi="Times New Roman" w:eastAsia="方正仿宋_GBK"/>
                <w:color w:val="auto"/>
                <w:sz w:val="28"/>
                <w:szCs w:val="28"/>
                <w:lang w:val="en-US" w:eastAsia="zh-CN"/>
              </w:rPr>
              <w:t xml:space="preserve">        </w:t>
            </w:r>
            <w:r>
              <w:rPr>
                <w:rFonts w:hint="eastAsia" w:ascii="Times New Roman" w:hAnsi="Times New Roman" w:eastAsia="方正仿宋_GBK"/>
                <w:color w:val="auto"/>
                <w:sz w:val="28"/>
                <w:szCs w:val="28"/>
              </w:rPr>
              <w:t xml:space="preserve">  是</w:t>
            </w:r>
            <w:r>
              <w:rPr>
                <w:rFonts w:hint="eastAsia" w:ascii="Times New Roman" w:hAnsi="Times New Roman" w:eastAsia="方正仿宋_GBK"/>
                <w:color w:val="auto"/>
                <w:sz w:val="28"/>
                <w:szCs w:val="28"/>
              </w:rPr>
              <w:sym w:font="Wingdings 2" w:char="0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F0A3"/>
            </w:r>
          </w:p>
        </w:tc>
      </w:tr>
      <w:tr w14:paraId="4E5F8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noWrap/>
            <w:vAlign w:val="center"/>
          </w:tcPr>
          <w:p w14:paraId="702FB6EE">
            <w:pPr>
              <w:widowControl/>
              <w:adjustRightInd w:val="0"/>
              <w:snapToGrid w:val="0"/>
              <w:spacing w:line="500" w:lineRule="exact"/>
              <w:jc w:val="both"/>
              <w:rPr>
                <w:rFonts w:hint="eastAsia" w:ascii="Times New Roman" w:hAnsi="Times New Roman" w:eastAsia="方正仿宋_GBK"/>
                <w:color w:val="auto"/>
                <w:sz w:val="28"/>
                <w:szCs w:val="28"/>
                <w:lang w:val="en-US" w:eastAsia="zh-CN"/>
              </w:rPr>
            </w:pPr>
            <w:r>
              <w:rPr>
                <w:rFonts w:hint="eastAsia" w:ascii="Times New Roman" w:hAnsi="Times New Roman" w:eastAsia="方正仿宋_GBK"/>
                <w:color w:val="auto"/>
                <w:sz w:val="28"/>
                <w:szCs w:val="28"/>
                <w:lang w:val="en-US" w:eastAsia="zh-CN"/>
              </w:rPr>
              <w:t>6.</w:t>
            </w:r>
            <w:r>
              <w:rPr>
                <w:rFonts w:hint="eastAsia" w:ascii="Times New Roman" w:hAnsi="Times New Roman" w:eastAsia="方正仿宋_GBK"/>
                <w:color w:val="auto"/>
                <w:sz w:val="28"/>
                <w:szCs w:val="28"/>
              </w:rPr>
              <w:t>无正当理由不配合现场检查、监督抽检工作或检查过程中</w:t>
            </w:r>
            <w:r>
              <w:rPr>
                <w:rFonts w:hint="eastAsia" w:ascii="Times New Roman" w:hAnsi="Times New Roman" w:eastAsia="方正仿宋_GBK"/>
                <w:color w:val="auto"/>
                <w:sz w:val="28"/>
                <w:szCs w:val="28"/>
                <w:lang w:val="en-US" w:eastAsia="zh-CN"/>
              </w:rPr>
              <w:t>故意</w:t>
            </w:r>
            <w:r>
              <w:rPr>
                <w:rFonts w:hint="eastAsia" w:ascii="Times New Roman" w:hAnsi="Times New Roman" w:eastAsia="方正仿宋_GBK"/>
                <w:color w:val="auto"/>
                <w:sz w:val="28"/>
                <w:szCs w:val="28"/>
              </w:rPr>
              <w:t>隐瞒有关情况的；     是</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F0A3"/>
            </w:r>
          </w:p>
        </w:tc>
      </w:tr>
      <w:tr w14:paraId="42595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noWrap/>
            <w:vAlign w:val="center"/>
          </w:tcPr>
          <w:p w14:paraId="1B8F57D1">
            <w:pPr>
              <w:widowControl/>
              <w:adjustRightInd w:val="0"/>
              <w:snapToGrid w:val="0"/>
              <w:spacing w:line="500" w:lineRule="exact"/>
              <w:jc w:val="both"/>
              <w:rPr>
                <w:rFonts w:hint="eastAsia" w:ascii="Times New Roman" w:hAnsi="Times New Roman" w:eastAsia="方正仿宋_GBK" w:cs="Times New Roman"/>
                <w:color w:val="auto"/>
                <w:kern w:val="2"/>
                <w:sz w:val="28"/>
                <w:szCs w:val="28"/>
                <w:lang w:val="en-US" w:eastAsia="zh-CN" w:bidi="ar-SA"/>
              </w:rPr>
            </w:pPr>
            <w:r>
              <w:rPr>
                <w:rFonts w:hint="eastAsia" w:ascii="Times New Roman" w:hAnsi="Times New Roman" w:eastAsia="方正仿宋_GBK"/>
                <w:color w:val="auto"/>
                <w:sz w:val="28"/>
                <w:szCs w:val="28"/>
                <w:lang w:val="en-US" w:eastAsia="zh-CN"/>
              </w:rPr>
              <w:t>7.</w:t>
            </w:r>
            <w:r>
              <w:rPr>
                <w:rFonts w:hint="eastAsia" w:ascii="Times New Roman" w:hAnsi="Times New Roman" w:eastAsia="方正仿宋_GBK"/>
                <w:color w:val="auto"/>
                <w:sz w:val="28"/>
                <w:szCs w:val="28"/>
              </w:rPr>
              <w:t xml:space="preserve">监督检查结论为“停产整改”的；         </w:t>
            </w:r>
            <w:r>
              <w:rPr>
                <w:rFonts w:hint="eastAsia" w:ascii="Times New Roman" w:hAnsi="Times New Roman" w:eastAsia="方正仿宋_GBK"/>
                <w:color w:val="auto"/>
                <w:sz w:val="28"/>
                <w:szCs w:val="28"/>
                <w:lang w:val="en-US" w:eastAsia="zh-CN"/>
              </w:rPr>
              <w:t xml:space="preserve">                                   </w:t>
            </w:r>
            <w:r>
              <w:rPr>
                <w:rFonts w:hint="eastAsia" w:ascii="Times New Roman" w:hAnsi="Times New Roman" w:eastAsia="方正仿宋_GBK"/>
                <w:color w:val="auto"/>
                <w:sz w:val="28"/>
                <w:szCs w:val="28"/>
              </w:rPr>
              <w:t xml:space="preserve"> 是</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 xml:space="preserve"> </w:t>
            </w:r>
          </w:p>
        </w:tc>
      </w:tr>
      <w:tr w14:paraId="2F6F3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noWrap/>
            <w:vAlign w:val="center"/>
          </w:tcPr>
          <w:p w14:paraId="0AE66C73">
            <w:pPr>
              <w:widowControl/>
              <w:adjustRightInd w:val="0"/>
              <w:snapToGrid w:val="0"/>
              <w:spacing w:line="500" w:lineRule="exact"/>
              <w:jc w:val="both"/>
              <w:rPr>
                <w:rFonts w:hint="eastAsia" w:ascii="Times New Roman" w:hAnsi="Times New Roman" w:eastAsia="方正仿宋_GBK" w:cs="Times New Roman"/>
                <w:color w:val="auto"/>
                <w:kern w:val="2"/>
                <w:sz w:val="28"/>
                <w:szCs w:val="28"/>
                <w:lang w:val="en-US" w:eastAsia="zh-CN" w:bidi="ar-SA"/>
              </w:rPr>
            </w:pPr>
            <w:r>
              <w:rPr>
                <w:rFonts w:hint="eastAsia" w:ascii="Times New Roman" w:hAnsi="Times New Roman" w:eastAsia="方正仿宋_GBK"/>
                <w:color w:val="auto"/>
                <w:sz w:val="28"/>
                <w:szCs w:val="28"/>
                <w:lang w:val="en-US" w:eastAsia="zh-CN"/>
              </w:rPr>
              <w:t>8.</w:t>
            </w:r>
            <w:r>
              <w:rPr>
                <w:rFonts w:hint="eastAsia" w:ascii="Times New Roman" w:hAnsi="Times New Roman" w:eastAsia="方正仿宋_GBK"/>
                <w:color w:val="auto"/>
                <w:sz w:val="28"/>
                <w:szCs w:val="28"/>
              </w:rPr>
              <w:t xml:space="preserve">存在严重失信行为，信用等级被评定为失信的； </w:t>
            </w:r>
            <w:r>
              <w:rPr>
                <w:rFonts w:hint="eastAsia" w:ascii="Times New Roman" w:hAnsi="Times New Roman" w:eastAsia="方正仿宋_GBK"/>
                <w:color w:val="auto"/>
                <w:sz w:val="28"/>
                <w:szCs w:val="28"/>
                <w:lang w:val="en-US" w:eastAsia="zh-CN"/>
              </w:rPr>
              <w:t xml:space="preserve">                                </w:t>
            </w:r>
            <w:r>
              <w:rPr>
                <w:rFonts w:hint="eastAsia" w:ascii="Times New Roman" w:hAnsi="Times New Roman" w:eastAsia="方正仿宋_GBK"/>
                <w:color w:val="auto"/>
                <w:sz w:val="28"/>
                <w:szCs w:val="28"/>
              </w:rPr>
              <w:t>是</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 xml:space="preserve"> </w:t>
            </w:r>
          </w:p>
        </w:tc>
      </w:tr>
      <w:tr w14:paraId="37DE6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FD8F8">
            <w:pPr>
              <w:widowControl/>
              <w:adjustRightInd w:val="0"/>
              <w:snapToGrid w:val="0"/>
              <w:spacing w:line="500" w:lineRule="exact"/>
              <w:jc w:val="both"/>
              <w:rPr>
                <w:rFonts w:hint="eastAsia" w:ascii="Times New Roman" w:hAnsi="Times New Roman" w:eastAsia="方正仿宋_GBK" w:cs="Times New Roman"/>
                <w:color w:val="auto"/>
                <w:kern w:val="2"/>
                <w:sz w:val="28"/>
                <w:szCs w:val="28"/>
                <w:lang w:val="en-US" w:eastAsia="zh-CN" w:bidi="ar-SA"/>
              </w:rPr>
            </w:pPr>
            <w:r>
              <w:rPr>
                <w:rFonts w:hint="eastAsia" w:ascii="Times New Roman" w:hAnsi="Times New Roman" w:eastAsia="方正仿宋_GBK"/>
                <w:color w:val="auto"/>
                <w:sz w:val="28"/>
                <w:szCs w:val="28"/>
                <w:lang w:val="en-US" w:eastAsia="zh-CN"/>
              </w:rPr>
              <w:t>9.</w:t>
            </w:r>
            <w:r>
              <w:rPr>
                <w:rFonts w:hint="eastAsia" w:ascii="Times New Roman" w:hAnsi="Times New Roman" w:eastAsia="方正仿宋_GBK"/>
                <w:color w:val="auto"/>
                <w:sz w:val="28"/>
                <w:szCs w:val="28"/>
              </w:rPr>
              <w:t>未在规定时间内上传</w:t>
            </w:r>
            <w:r>
              <w:rPr>
                <w:rFonts w:hint="eastAsia" w:ascii="Times New Roman" w:hAnsi="Times New Roman" w:eastAsia="方正仿宋_GBK"/>
                <w:color w:val="auto"/>
                <w:sz w:val="28"/>
                <w:szCs w:val="28"/>
                <w:lang w:val="en-US" w:eastAsia="zh-CN"/>
              </w:rPr>
              <w:t>年度质量体系自查或企业等级自评</w:t>
            </w:r>
            <w:r>
              <w:rPr>
                <w:rFonts w:hint="eastAsia" w:ascii="Times New Roman" w:hAnsi="Times New Roman" w:eastAsia="方正仿宋_GBK"/>
                <w:color w:val="auto"/>
                <w:sz w:val="28"/>
                <w:szCs w:val="28"/>
              </w:rPr>
              <w:t>报告的</w:t>
            </w:r>
            <w:r>
              <w:rPr>
                <w:rFonts w:hint="eastAsia" w:ascii="Times New Roman" w:hAnsi="Times New Roman" w:eastAsia="方正仿宋_GBK"/>
                <w:color w:val="auto"/>
                <w:sz w:val="28"/>
                <w:szCs w:val="28"/>
                <w:lang w:eastAsia="zh-CN"/>
              </w:rPr>
              <w:t>；</w:t>
            </w:r>
            <w:r>
              <w:rPr>
                <w:rFonts w:hint="eastAsia" w:ascii="Times New Roman" w:hAnsi="Times New Roman" w:eastAsia="方正仿宋_GBK"/>
                <w:color w:val="auto"/>
                <w:sz w:val="28"/>
                <w:szCs w:val="28"/>
                <w:lang w:val="en-US" w:eastAsia="zh-CN"/>
              </w:rPr>
              <w:t xml:space="preserve">                   </w:t>
            </w:r>
            <w:r>
              <w:rPr>
                <w:rFonts w:hint="eastAsia" w:ascii="Times New Roman" w:hAnsi="Times New Roman" w:eastAsia="方正仿宋_GBK"/>
                <w:color w:val="auto"/>
                <w:sz w:val="28"/>
                <w:szCs w:val="28"/>
              </w:rPr>
              <w:t>是</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 xml:space="preserve">   </w:t>
            </w:r>
          </w:p>
        </w:tc>
      </w:tr>
      <w:tr w14:paraId="62CA2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153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38677">
            <w:pPr>
              <w:widowControl/>
              <w:adjustRightInd w:val="0"/>
              <w:snapToGrid w:val="0"/>
              <w:spacing w:line="500" w:lineRule="exact"/>
              <w:jc w:val="both"/>
              <w:rPr>
                <w:rFonts w:hint="eastAsia" w:ascii="Times New Roman" w:hAnsi="Times New Roman" w:eastAsia="方正仿宋_GBK" w:cs="Times New Roman"/>
                <w:color w:val="auto"/>
                <w:kern w:val="2"/>
                <w:sz w:val="28"/>
                <w:szCs w:val="28"/>
                <w:lang w:val="en-US" w:eastAsia="zh-CN" w:bidi="ar-SA"/>
              </w:rPr>
            </w:pPr>
            <w:r>
              <w:rPr>
                <w:rFonts w:hint="eastAsia" w:ascii="Times New Roman" w:hAnsi="Times New Roman" w:eastAsia="方正仿宋_GBK"/>
                <w:color w:val="auto"/>
                <w:sz w:val="28"/>
                <w:szCs w:val="28"/>
                <w:lang w:val="en-US" w:eastAsia="zh-CN"/>
              </w:rPr>
              <w:t>10.</w:t>
            </w:r>
            <w:r>
              <w:rPr>
                <w:rFonts w:hint="eastAsia" w:ascii="Times New Roman" w:hAnsi="Times New Roman" w:eastAsia="方正仿宋_GBK"/>
                <w:color w:val="auto"/>
                <w:sz w:val="28"/>
                <w:szCs w:val="28"/>
              </w:rPr>
              <w:t>经监管部门评估其他应当为C级的情形。</w:t>
            </w:r>
            <w:r>
              <w:rPr>
                <w:rFonts w:hint="eastAsia" w:ascii="Times New Roman" w:hAnsi="Times New Roman" w:eastAsia="方正仿宋_GBK"/>
                <w:color w:val="auto"/>
                <w:sz w:val="28"/>
                <w:szCs w:val="28"/>
                <w:lang w:val="en-US" w:eastAsia="zh-CN"/>
              </w:rPr>
              <w:t xml:space="preserve">                                     </w:t>
            </w:r>
            <w:r>
              <w:rPr>
                <w:rFonts w:hint="eastAsia" w:ascii="Times New Roman" w:hAnsi="Times New Roman" w:eastAsia="方正仿宋_GBK"/>
                <w:color w:val="auto"/>
                <w:sz w:val="28"/>
                <w:szCs w:val="28"/>
              </w:rPr>
              <w:t>是</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否</w:t>
            </w:r>
            <w:r>
              <w:rPr>
                <w:rFonts w:hint="eastAsia" w:ascii="Times New Roman" w:hAnsi="Times New Roman" w:eastAsia="方正仿宋_GBK"/>
                <w:color w:val="auto"/>
                <w:sz w:val="28"/>
                <w:szCs w:val="28"/>
              </w:rPr>
              <w:sym w:font="Wingdings 2" w:char="F0A3"/>
            </w:r>
            <w:r>
              <w:rPr>
                <w:rFonts w:hint="eastAsia" w:ascii="Times New Roman" w:hAnsi="Times New Roman" w:eastAsia="方正仿宋_GBK"/>
                <w:color w:val="auto"/>
                <w:sz w:val="28"/>
                <w:szCs w:val="28"/>
              </w:rPr>
              <w:t xml:space="preserve">    </w:t>
            </w:r>
          </w:p>
        </w:tc>
      </w:tr>
    </w:tbl>
    <w:p w14:paraId="58638229">
      <w:pPr>
        <w:adjustRightInd w:val="0"/>
        <w:snapToGrid w:val="0"/>
        <w:spacing w:before="0" w:beforeAutospacing="0" w:after="0" w:afterAutospacing="0" w:line="590" w:lineRule="atLeast"/>
        <w:jc w:val="both"/>
        <w:rPr>
          <w:rStyle w:val="5"/>
          <w:rFonts w:hint="eastAsia" w:ascii="方正仿宋_GBK" w:eastAsia="方正仿宋_GBK" w:cs="方正仿宋_GBK"/>
          <w:color w:val="auto"/>
          <w:sz w:val="32"/>
          <w:szCs w:val="32"/>
          <w:lang w:val="en-US" w:eastAsia="zh-CN"/>
        </w:rPr>
        <w:sectPr>
          <w:pgSz w:w="16840" w:h="11907" w:orient="landscape"/>
          <w:pgMar w:top="1531" w:right="1814" w:bottom="1531" w:left="1985" w:header="851" w:footer="992" w:gutter="0"/>
          <w:pgNumType w:fmt="decimal"/>
          <w:cols w:space="720" w:num="1"/>
          <w:rtlGutter w:val="1"/>
          <w:docGrid w:type="lines" w:linePitch="315" w:charSpace="0"/>
        </w:sectPr>
      </w:pPr>
    </w:p>
    <w:tbl>
      <w:tblPr>
        <w:tblStyle w:val="3"/>
        <w:tblW w:w="1552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28"/>
        <w:gridCol w:w="1409"/>
        <w:gridCol w:w="4152"/>
        <w:gridCol w:w="863"/>
        <w:gridCol w:w="5470"/>
        <w:gridCol w:w="810"/>
        <w:gridCol w:w="810"/>
        <w:gridCol w:w="783"/>
      </w:tblGrid>
      <w:tr w14:paraId="541C42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6" w:hRule="atLeast"/>
          <w:jc w:val="center"/>
        </w:trPr>
        <w:tc>
          <w:tcPr>
            <w:tcW w:w="15525" w:type="dxa"/>
            <w:gridSpan w:val="8"/>
            <w:tcBorders>
              <w:top w:val="single" w:color="000000" w:sz="4" w:space="0"/>
              <w:left w:val="single" w:color="000000" w:sz="4" w:space="0"/>
              <w:bottom w:val="single" w:color="000000" w:sz="4" w:space="0"/>
              <w:right w:val="single" w:color="000000" w:sz="4" w:space="0"/>
              <w:tl2br w:val="nil"/>
              <w:tr2bl w:val="nil"/>
            </w:tcBorders>
            <w:noWrap/>
            <w:vAlign w:val="center"/>
          </w:tcPr>
          <w:p w14:paraId="1927B831">
            <w:pPr>
              <w:widowControl/>
              <w:adjustRightInd w:val="0"/>
              <w:snapToGrid w:val="0"/>
              <w:spacing w:line="500" w:lineRule="atLeast"/>
              <w:jc w:val="both"/>
              <w:rPr>
                <w:rFonts w:hint="eastAsia" w:ascii="Times New Roman" w:hAnsi="Times New Roman" w:eastAsia="方正仿宋_GBK"/>
                <w:color w:val="auto"/>
                <w:sz w:val="28"/>
                <w:szCs w:val="28"/>
                <w:lang w:val="en-US" w:eastAsia="zh-CN"/>
              </w:rPr>
            </w:pPr>
            <w:r>
              <w:rPr>
                <w:rFonts w:hint="eastAsia" w:ascii="方正黑体_GBK" w:eastAsia="方正黑体_GBK" w:cs="方正黑体_GBK"/>
                <w:i w:val="0"/>
                <w:iCs w:val="0"/>
                <w:color w:val="auto"/>
                <w:kern w:val="0"/>
                <w:sz w:val="28"/>
                <w:szCs w:val="28"/>
                <w:u w:val="none"/>
                <w:lang w:val="en-US" w:eastAsia="zh-CN"/>
              </w:rPr>
              <w:t>二、企业等级评估评分细则</w:t>
            </w:r>
          </w:p>
        </w:tc>
      </w:tr>
      <w:tr w14:paraId="41F714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4" w:hRule="atLeast"/>
          <w:jc w:val="center"/>
        </w:trPr>
        <w:tc>
          <w:tcPr>
            <w:tcW w:w="1228"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4EECB199">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黑体_GBK" w:eastAsia="方正黑体_GBK" w:cs="方正黑体_GBK"/>
                <w:i w:val="0"/>
                <w:iCs w:val="0"/>
                <w:color w:val="auto"/>
                <w:sz w:val="28"/>
                <w:szCs w:val="28"/>
                <w:u w:val="none"/>
              </w:rPr>
            </w:pPr>
            <w:r>
              <w:rPr>
                <w:rFonts w:hint="eastAsia" w:ascii="方正黑体_GBK" w:eastAsia="方正黑体_GBK" w:cs="方正黑体_GBK"/>
                <w:i w:val="0"/>
                <w:iCs w:val="0"/>
                <w:color w:val="auto"/>
                <w:kern w:val="0"/>
                <w:sz w:val="28"/>
                <w:szCs w:val="28"/>
                <w:u w:val="none"/>
                <w:lang w:val="en-US" w:eastAsia="zh-CN"/>
              </w:rPr>
              <w:t>章节</w:t>
            </w:r>
          </w:p>
        </w:tc>
        <w:tc>
          <w:tcPr>
            <w:tcW w:w="1409"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FC2D93E">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黑体_GBK" w:eastAsia="方正黑体_GBK" w:cs="方正黑体_GBK"/>
                <w:i w:val="0"/>
                <w:iCs w:val="0"/>
                <w:color w:val="auto"/>
                <w:sz w:val="28"/>
                <w:szCs w:val="28"/>
                <w:u w:val="none"/>
              </w:rPr>
            </w:pPr>
            <w:r>
              <w:rPr>
                <w:rFonts w:hint="eastAsia" w:ascii="方正黑体_GBK" w:eastAsia="方正黑体_GBK" w:cs="方正黑体_GBK"/>
                <w:i w:val="0"/>
                <w:iCs w:val="0"/>
                <w:color w:val="auto"/>
                <w:kern w:val="0"/>
                <w:sz w:val="28"/>
                <w:szCs w:val="28"/>
                <w:u w:val="none"/>
                <w:lang w:val="en-US" w:eastAsia="zh-CN"/>
              </w:rPr>
              <w:t>评判内容</w:t>
            </w:r>
          </w:p>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D674504">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黑体_GBK" w:eastAsia="方正黑体_GBK" w:cs="方正黑体_GBK"/>
                <w:i w:val="0"/>
                <w:iCs w:val="0"/>
                <w:color w:val="auto"/>
                <w:sz w:val="28"/>
                <w:szCs w:val="28"/>
                <w:u w:val="none"/>
              </w:rPr>
            </w:pPr>
            <w:r>
              <w:rPr>
                <w:rFonts w:hint="eastAsia" w:ascii="方正黑体_GBK" w:eastAsia="方正黑体_GBK" w:cs="方正黑体_GBK"/>
                <w:i w:val="0"/>
                <w:iCs w:val="0"/>
                <w:color w:val="auto"/>
                <w:kern w:val="0"/>
                <w:sz w:val="28"/>
                <w:szCs w:val="28"/>
                <w:u w:val="none"/>
                <w:lang w:val="en-US" w:eastAsia="zh-CN"/>
              </w:rPr>
              <w:t>内容</w:t>
            </w:r>
          </w:p>
        </w:tc>
        <w:tc>
          <w:tcPr>
            <w:tcW w:w="86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02CF2517">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黑体_GBK" w:eastAsia="方正黑体_GBK" w:cs="方正黑体_GBK"/>
                <w:i w:val="0"/>
                <w:iCs w:val="0"/>
                <w:color w:val="auto"/>
                <w:sz w:val="28"/>
                <w:szCs w:val="28"/>
                <w:u w:val="none"/>
              </w:rPr>
            </w:pPr>
            <w:r>
              <w:rPr>
                <w:rFonts w:hint="eastAsia" w:ascii="方正黑体_GBK" w:eastAsia="方正黑体_GBK" w:cs="方正黑体_GBK"/>
                <w:i w:val="0"/>
                <w:iCs w:val="0"/>
                <w:color w:val="auto"/>
                <w:kern w:val="0"/>
                <w:sz w:val="28"/>
                <w:szCs w:val="28"/>
                <w:u w:val="none"/>
                <w:lang w:val="en-US" w:eastAsia="zh-CN"/>
              </w:rPr>
              <w:t>条款</w:t>
            </w:r>
          </w:p>
        </w:tc>
        <w:tc>
          <w:tcPr>
            <w:tcW w:w="547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3ADE15D9">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黑体_GBK" w:eastAsia="方正黑体_GBK" w:cs="方正黑体_GBK"/>
                <w:i w:val="0"/>
                <w:iCs w:val="0"/>
                <w:color w:val="auto"/>
                <w:kern w:val="0"/>
                <w:sz w:val="28"/>
                <w:szCs w:val="28"/>
                <w:u w:val="none"/>
                <w:lang w:val="en-US" w:eastAsia="zh-CN"/>
              </w:rPr>
            </w:pPr>
            <w:r>
              <w:rPr>
                <w:rFonts w:hint="eastAsia" w:ascii="方正黑体_GBK" w:eastAsia="方正黑体_GBK" w:cs="方正黑体_GBK"/>
                <w:i w:val="0"/>
                <w:iCs w:val="0"/>
                <w:color w:val="auto"/>
                <w:kern w:val="0"/>
                <w:sz w:val="28"/>
                <w:szCs w:val="28"/>
                <w:u w:val="none"/>
                <w:lang w:val="en-US" w:eastAsia="zh-CN"/>
              </w:rPr>
              <w:t>评分要点</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6BCF4E72">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黑体_GBK" w:eastAsia="方正黑体_GBK" w:cs="方正黑体_GBK"/>
                <w:i w:val="0"/>
                <w:iCs w:val="0"/>
                <w:color w:val="auto"/>
                <w:sz w:val="28"/>
                <w:szCs w:val="28"/>
                <w:u w:val="none"/>
              </w:rPr>
            </w:pPr>
            <w:r>
              <w:rPr>
                <w:rFonts w:hint="eastAsia" w:ascii="方正黑体_GBK" w:eastAsia="方正黑体_GBK" w:cs="方正黑体_GBK"/>
                <w:i w:val="0"/>
                <w:iCs w:val="0"/>
                <w:color w:val="auto"/>
                <w:kern w:val="0"/>
                <w:sz w:val="28"/>
                <w:szCs w:val="28"/>
                <w:u w:val="none"/>
                <w:lang w:val="en-US" w:eastAsia="zh-CN"/>
              </w:rPr>
              <w:t>分值</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69215841">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黑体_GBK" w:eastAsia="方正黑体_GBK" w:cs="方正黑体_GBK"/>
                <w:i w:val="0"/>
                <w:iCs w:val="0"/>
                <w:color w:val="auto"/>
                <w:sz w:val="28"/>
                <w:szCs w:val="28"/>
                <w:u w:val="none"/>
              </w:rPr>
            </w:pPr>
            <w:r>
              <w:rPr>
                <w:rFonts w:hint="eastAsia" w:ascii="方正黑体_GBK" w:eastAsia="方正黑体_GBK" w:cs="方正黑体_GBK"/>
                <w:i w:val="0"/>
                <w:iCs w:val="0"/>
                <w:color w:val="auto"/>
                <w:kern w:val="0"/>
                <w:sz w:val="28"/>
                <w:szCs w:val="28"/>
                <w:u w:val="none"/>
                <w:lang w:val="en-US" w:eastAsia="zh-CN"/>
              </w:rPr>
              <w:t>得分</w:t>
            </w:r>
          </w:p>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3F272BD">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黑体_GBK" w:eastAsia="方正黑体_GBK" w:cs="方正黑体_GBK"/>
                <w:i w:val="0"/>
                <w:iCs w:val="0"/>
                <w:color w:val="auto"/>
                <w:sz w:val="28"/>
                <w:szCs w:val="28"/>
                <w:u w:val="none"/>
              </w:rPr>
            </w:pPr>
            <w:r>
              <w:rPr>
                <w:rFonts w:hint="eastAsia" w:ascii="方正黑体_GBK" w:eastAsia="方正黑体_GBK" w:cs="方正黑体_GBK"/>
                <w:i w:val="0"/>
                <w:iCs w:val="0"/>
                <w:color w:val="auto"/>
                <w:kern w:val="0"/>
                <w:sz w:val="28"/>
                <w:szCs w:val="28"/>
                <w:u w:val="none"/>
                <w:lang w:val="en-US" w:eastAsia="zh-CN"/>
              </w:rPr>
              <w:t>备注</w:t>
            </w:r>
          </w:p>
        </w:tc>
      </w:tr>
      <w:tr w14:paraId="6CE17A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63" w:hRule="atLeast"/>
          <w:jc w:val="center"/>
        </w:trPr>
        <w:tc>
          <w:tcPr>
            <w:tcW w:w="1228"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4BE454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r>
              <w:rPr>
                <w:rFonts w:hint="eastAsia" w:ascii="方正仿宋_GBK" w:eastAsia="方正仿宋_GBK" w:cs="方正仿宋_GBK"/>
                <w:i w:val="0"/>
                <w:iCs w:val="0"/>
                <w:color w:val="auto"/>
                <w:kern w:val="0"/>
                <w:sz w:val="21"/>
                <w:szCs w:val="21"/>
                <w:u w:val="none"/>
                <w:lang w:val="en-US" w:eastAsia="zh-CN"/>
              </w:rPr>
              <w:t>一、质量安全关键岗位要求</w:t>
            </w:r>
          </w:p>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970C7A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r>
              <w:rPr>
                <w:rFonts w:hint="eastAsia" w:ascii="方正仿宋_GBK" w:eastAsia="方正仿宋_GBK" w:cs="方正仿宋_GBK"/>
                <w:i w:val="0"/>
                <w:iCs w:val="0"/>
                <w:color w:val="auto"/>
                <w:kern w:val="0"/>
                <w:sz w:val="21"/>
                <w:szCs w:val="21"/>
                <w:u w:val="none"/>
                <w:lang w:val="en-US" w:eastAsia="zh-CN"/>
              </w:rPr>
              <w:t>机构设立</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736194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r>
              <w:rPr>
                <w:rFonts w:hint="eastAsia" w:ascii="方正仿宋_GBK" w:eastAsia="方正仿宋_GBK" w:cs="方正仿宋_GBK"/>
                <w:i w:val="0"/>
                <w:iCs w:val="0"/>
                <w:color w:val="auto"/>
                <w:kern w:val="0"/>
                <w:sz w:val="21"/>
                <w:szCs w:val="21"/>
                <w:u w:val="none"/>
                <w:lang w:val="en-US" w:eastAsia="zh-CN"/>
              </w:rPr>
              <w:t>企业应当按照“权责一致、责任到人，因岗选人、人岗相适，尽职免责、奖惩有据”的原则，设置质量安全关键岗位，生产企业质量安全关键岗位人员一般包括企业法定代表人和主要负责人（以下简称"企业负责人"）、管理者代表、质量管理部门负责人、产品放行审核人员。其中企业负责人为最高管理者，管理者代表为高层管理人员，质量管理部门负责人一般为中层管理人员。</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48B7AD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Times New Roman" w:hAnsi="Times New Roman" w:eastAsia="宋体" w:cs="宋体"/>
                <w:i w:val="0"/>
                <w:iCs w:val="0"/>
                <w:color w:val="auto"/>
                <w:kern w:val="2"/>
                <w:sz w:val="21"/>
                <w:szCs w:val="21"/>
                <w:u w:val="none"/>
                <w:lang w:val="en-US" w:eastAsia="zh-CN" w:bidi="ar-SA"/>
              </w:rPr>
            </w:pPr>
            <w:r>
              <w:rPr>
                <w:rFonts w:hint="eastAsia" w:ascii="Times New Roman" w:hAnsi="Times New Roman" w:eastAsia="宋体" w:cs="宋体"/>
                <w:i w:val="0"/>
                <w:iCs w:val="0"/>
                <w:color w:val="auto"/>
                <w:kern w:val="0"/>
                <w:sz w:val="21"/>
                <w:szCs w:val="21"/>
                <w:u w:val="none"/>
                <w:lang w:val="en-US" w:eastAsia="zh-CN"/>
              </w:rPr>
              <w:t>1.1.1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DB1C3C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r>
              <w:rPr>
                <w:rFonts w:hint="eastAsia" w:ascii="方正仿宋_GBK" w:eastAsia="方正仿宋_GBK" w:cs="方正仿宋_GBK"/>
                <w:i w:val="0"/>
                <w:iCs w:val="0"/>
                <w:color w:val="auto"/>
                <w:kern w:val="0"/>
                <w:sz w:val="21"/>
                <w:szCs w:val="21"/>
                <w:u w:val="none"/>
                <w:lang w:val="en-US" w:eastAsia="zh-CN"/>
              </w:rPr>
              <w:t>建立与医疗器械生产相适应的组织机构，组织机构合理，各部门职责及管理职能明确，质量安全关键岗位人员配备充分、专职质量人员齐全的，得5分；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D910B1C">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lang w:val="en-US" w:eastAsia="zh-CN"/>
              </w:rPr>
            </w:pPr>
            <w:r>
              <w:rPr>
                <w:rFonts w:hint="eastAsia" w:ascii="方正仿宋_GBK" w:eastAsia="方正仿宋_GBK" w:cs="方正仿宋_GBK"/>
                <w:i w:val="0"/>
                <w:iCs w:val="0"/>
                <w:color w:val="auto"/>
                <w:kern w:val="0"/>
                <w:sz w:val="21"/>
                <w:szCs w:val="21"/>
                <w:u w:val="none"/>
                <w:lang w:val="en-US" w:eastAsia="zh-CN"/>
              </w:rPr>
              <w:t>5</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DF7CB4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242CB7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p>
        </w:tc>
      </w:tr>
      <w:tr w14:paraId="196C03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63"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F7C989B"/>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7A018F4"/>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E19AD58"/>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861AB7B"/>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301B62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r>
              <w:rPr>
                <w:rFonts w:hint="eastAsia" w:ascii="方正仿宋_GBK" w:eastAsia="方正仿宋_GBK" w:cs="方正仿宋_GBK"/>
                <w:i w:val="0"/>
                <w:iCs w:val="0"/>
                <w:color w:val="auto"/>
                <w:kern w:val="0"/>
                <w:sz w:val="21"/>
                <w:szCs w:val="21"/>
                <w:u w:val="none"/>
                <w:lang w:val="en-US" w:eastAsia="zh-CN"/>
              </w:rPr>
              <w:t>建立与医疗器械生产相适应的组织机构，部分部门职责及管理职能存在交叉现象，质量安全关键岗位人员配备齐全的，得3分；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181D23F"/>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565A29D"/>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F0EAD79"/>
        </w:tc>
      </w:tr>
      <w:tr w14:paraId="2D0B05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3"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1211D0D"/>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309CC71"/>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27D973B"/>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1227182"/>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5972D8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r>
              <w:rPr>
                <w:rFonts w:hint="eastAsia" w:ascii="方正仿宋_GBK" w:eastAsia="方正仿宋_GBK" w:cs="方正仿宋_GBK"/>
                <w:i w:val="0"/>
                <w:iCs w:val="0"/>
                <w:color w:val="auto"/>
                <w:kern w:val="0"/>
                <w:sz w:val="21"/>
                <w:szCs w:val="21"/>
                <w:u w:val="none"/>
                <w:lang w:val="en-US" w:eastAsia="zh-CN"/>
              </w:rPr>
              <w:t>建立组织机构但组织架构设计不合理，或质量安全关键岗位人员配备不齐全的，不得分。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2C8BCBE"/>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B09E931"/>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A3DC4E1"/>
        </w:tc>
      </w:tr>
      <w:tr w14:paraId="7F17BE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41CD19A">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887BA2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企业负责人</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5D1B52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生产企业负责人应当对本企业医疗器械质量安全工作全面负责，建立并落实医疗器械质量安全主体责任长效机制。</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企业负责人应当支持和保障管理者代表、质量管理部门负责人等人员依法开展医疗器械质量安全管理工作；在作出涉及医疗器械质量安全的重大决策前，应当充分听取管理者代表、质量管理部门负责人等人员的意见和建议，对其发现的医疗器械质量安全隐患，应当组织研究并提出处置措施，及时消除风险隐患。</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企业负责人应当履行包括但不限于以下职责：</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（一）组织制定企业的质量方针和质量目标；</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（二）确保质量管理体系有效运行所需的人力资源、基础设施和工作环境等；</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（三）组织实施管理评审，定期对质量管理体系运行情况进行评估，并持续改进；</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（四）按照相关法律、法规、规章、生产质量管理规范的要求，以及强制性标准和产品技术要求组织生产。（二、四单列条款）</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C261F2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1.2.1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A51DA6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查阅相关会议记录、文件签发、记录审批等，企业建立落实医疗器械质量安全主体责任长效机制，对质量安全工作全面负责；在作出涉及医疗器械质量安全的重大决策前，充分听取关键岗位人员意见且处置措施及时有效的，得5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EF1DB66">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BBEFD61">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84D136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64AA6D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989F2D4"/>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8893D6D"/>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068D793"/>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AB42F4A"/>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70089F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建立落实医疗器械质量安全主体责任长效机制，对质量安全工作负责；在作出涉及医疗器械质量安全的重大决策前，听取关键岗位人员意见和建议，提出相应的处置措施可以消除风险隐患，但不够及时有效的，得3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8D27B2B"/>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341E3C0"/>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0997542"/>
        </w:tc>
      </w:tr>
      <w:tr w14:paraId="7FC9E5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CFB3B6D"/>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F41D333"/>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D79D18B"/>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7258481"/>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E0F6C1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未建立落实医疗器械质量安全主体责任长效机制，对质量安全工作全面负责；或在作出涉及医疗器械质量安全的重大决策前，未充分听取关键岗位人员意见和建议，提出的处置措施不能及时消除风险隐患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48B4517"/>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4AE3B52"/>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2FAE39B"/>
        </w:tc>
      </w:tr>
      <w:tr w14:paraId="167D2C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A5E3DEA"/>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9540993"/>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B14EEAE"/>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12945D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1.2.2</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28B6F2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长期在岗，且未兼任其他岗位职务，得3分；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095D472">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52D9BDE">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9226FF2"/>
        </w:tc>
      </w:tr>
      <w:tr w14:paraId="69DBEE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303F3F3"/>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C679EAC"/>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9EAE1C6"/>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6B795CB"/>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152CC5F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长期在岗，但在企业或集团内部兼任其他职务，得2分；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5F79AD4"/>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F0A25BE"/>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CAA14A3"/>
        </w:tc>
      </w:tr>
      <w:tr w14:paraId="73D972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7C1E8E6"/>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C86CA62"/>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DE3BCEF"/>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7AE6CDB"/>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6FA2CE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长期不在岗，或未能正常履职，不得分。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EA843AE"/>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53EEA67"/>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999AEB6"/>
        </w:tc>
      </w:tr>
      <w:tr w14:paraId="7743C0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74992B2"/>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3F98ACE"/>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5C13509"/>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3796B7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highlight w:val="none"/>
                <w:u w:val="none"/>
                <w:lang w:val="en-US" w:eastAsia="zh-CN"/>
              </w:rPr>
              <w:t>1.2.3</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B53655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医疗器械相关法规考试，得分≥90分，得3分；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041F62A">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274EF91">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27707DC"/>
        </w:tc>
      </w:tr>
      <w:tr w14:paraId="059ACF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DC9FEC4"/>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79D15C4"/>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29011B3"/>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1D65A9B"/>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A777D9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医疗器械相关法规考试，90＞得分≥60分，得2分；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4AEEB06"/>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C195A82"/>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529287A"/>
        </w:tc>
      </w:tr>
      <w:tr w14:paraId="2C3635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D99FDD1"/>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E648660"/>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12A7C9B"/>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5BFB208"/>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79CBB6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医疗器械相关法规考试，得分＜60分，不得分。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1414C4D"/>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17B6D12"/>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DDA9FCF"/>
        </w:tc>
      </w:tr>
      <w:tr w14:paraId="5E4865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5AADDD6"/>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CACD33D"/>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43F7585"/>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D06208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1.2.4</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68B832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为质量管理体系有效运行提供充分的人力资源、基础设施和工作环境等保障；严格按照相关法律、法规、规章、生产质量管理规范的要求，以及强制性标准和产品技术要求组织生产的，得3分；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B1510A2">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B88FC59">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559EC9B"/>
        </w:tc>
      </w:tr>
      <w:tr w14:paraId="6D8AD0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3C45E1A"/>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4029609"/>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B4F1ABB"/>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F872F52"/>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1C4E1C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为质量管理体系有效运行提供基本的人力资源、基础设施和工作环境等保障；可以按照相关法律、法规、规章、生产质量管理规范的要求，以及强制性标准和产品技术要求组织生产的，得2分；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C4AFFDF"/>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9484B13"/>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48C50EC"/>
        </w:tc>
      </w:tr>
      <w:tr w14:paraId="5B9B4D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1AEC3F9"/>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F043A44"/>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10A3545"/>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DC76B5A"/>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192C94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不能为质量管理体系有效运行提供人力资源、基础设施和工作环境等保障；或不能按照相关法律、法规、规章、生产质量管理规范的要求，以及强制性标准和产品技术要求组织生产的，不得分。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76D24B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0A3D835"/>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1989C50"/>
        </w:tc>
      </w:tr>
      <w:tr w14:paraId="7D73DF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51468BF"/>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06B95A1"/>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406D906"/>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B03B48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1.2.5</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DE2F7C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在规定时间内组织并高质量完成管理评审，管理评审文件内容完整，相关改进措施有效实施落实并留有相关记录的，得3分；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3726DAA">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FCFC17A">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C8C3995"/>
        </w:tc>
      </w:tr>
      <w:tr w14:paraId="2921CB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C720807"/>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074E02F"/>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8563EF4"/>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99C5003"/>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26D285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在规定时间内组织完成管理评审，管理评审文件内容完整，有相应改进措施，但未严格按职责或要求进行整改落实的，得2分 ；</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6419B4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AC54D49"/>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E927596"/>
        </w:tc>
      </w:tr>
      <w:tr w14:paraId="7E680E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8985581"/>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C848E45"/>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9E8B050"/>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746DBA0"/>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393CF1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未开展管理评审，或管理评审流于形式，或与企业实际不相符的，不得分。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4215058"/>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6AF03B2"/>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10D6CDE"/>
        </w:tc>
      </w:tr>
      <w:tr w14:paraId="52F0D4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771CE9B"/>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325648A"/>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4D0875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生产企业负责人应当每季度至少听取一次管理者代表工作情况汇报，对企业生产情况和质量安全管理情况进行回顾分析，对风险防控重点工作进行研究并作出调度安排，形成调度记录。</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73756C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1.2.6</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CDF615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每季度至少听取一次管理者代表报告，形成制度，且有相应的调度措施及记录的，得3分；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561D664">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7E70B34">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452D39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7F76E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640C541"/>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D4563EC"/>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1F89530"/>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8E68367"/>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2A0A89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每季度至少听取一次管理者代表报告，形成制度，但未及时做出调度安排，或记录不完整的，得2分；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0344270"/>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3A9871D"/>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5B1C5AE"/>
        </w:tc>
      </w:tr>
      <w:tr w14:paraId="30D838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115ECD7"/>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BE43BF9"/>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9F78075"/>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FC341A3"/>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2A9877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未每季度听取一次管理者代表报告，没有形成制度或无调度记录的，不得分。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105C115"/>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E171981"/>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7DEF0A3"/>
        </w:tc>
      </w:tr>
      <w:tr w14:paraId="69CD59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38F54E1"/>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ABDE40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管理者代表</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57DDD4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r>
              <w:rPr>
                <w:rFonts w:hint="eastAsia" w:ascii="方正仿宋_GBK" w:eastAsia="方正仿宋_GBK" w:cs="方正仿宋_GBK"/>
                <w:i w:val="0"/>
                <w:iCs w:val="0"/>
                <w:color w:val="auto"/>
                <w:kern w:val="0"/>
                <w:sz w:val="21"/>
                <w:szCs w:val="21"/>
                <w:u w:val="none"/>
                <w:lang w:val="en-US" w:eastAsia="zh-CN"/>
              </w:rPr>
              <w:t>生产企业负责人应当在企业高层管理人员中确定一名管理者代表。管理者代表应当是所在企业全职员工，并至少符合以下条件：</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（一）遵纪守法，具有良好职业道德素质且无不良从业记录。</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（二）熟悉并能正确执行相关法律、法规、规章、规范和标准，接受过系统化的质量管理体系知识培训。</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（三）熟悉医疗器械生产质量管理工作，具备指导和监督本企业各部门按规定实施医疗器械生产质量管理规范的专业技能和解决实际问题的能力。</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（四）生产第二类、第三类医疗器械的，管理者代表原则上应当具有医疗器械相关专业大学本科及以上学历或者中级及以上技术职称，并具有3年及以上质量管理或生产、技术管理工作经验；</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生产第一类医疗器械的，管理者代表原则上应当具有大学专科及以上学历，并具有3年及以上医疗器械生产企业工作经历。</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具有5年及以上医疗器械质量管理或者生产、技术管理工作经验，熟悉本企业产品、生产和质量管理情况，经实践证明具有良好履职能力的管理者代表，可以适当放宽相关学历和职称要求。</w:t>
            </w:r>
          </w:p>
          <w:p w14:paraId="4C83F8F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管理者代表在任职后还应当持续加强知识更新，积极参加企业质量管理体系相关学习和培训活动，不断提高质量管理水平。</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FE5126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1.3.1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FC24BA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医疗器械相关法规考试，得分≥90分的，得3分；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A9D92E8">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75FBB8D">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78E5E3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252F5C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D5DB914"/>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BF17586"/>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A083900"/>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3772274"/>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9EA98E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医疗器械相关法规考试，90＞得分≥75分，得2分；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43395E3"/>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6E42132"/>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8CF09A8"/>
        </w:tc>
      </w:tr>
      <w:tr w14:paraId="6139E0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A3B7694"/>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BD91253"/>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AA828C0"/>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5729BE7"/>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C4E029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医疗器械相关法规考试，得分＜75分，不得分。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186ADEC"/>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A3AE00E"/>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28FD5D0"/>
        </w:tc>
      </w:tr>
      <w:tr w14:paraId="4DA17E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5A3D771"/>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BEDBD8F"/>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F479B65"/>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E92A095">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1.3.2</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554D72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学历、职务（企业高管）、职称、经历满足规定要求，熟悉本企业产品、生产和质量管理情况，经实践证明具有良好履职能力，得5分；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A242D3B">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CC8C282">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AD157CA"/>
        </w:tc>
      </w:tr>
      <w:tr w14:paraId="757AA2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94867F9"/>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91EA7FB"/>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C97D4E8"/>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FFF254A"/>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BC9EAF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学历、职务（企业高管）、职称、经历满足规定要求，较熟悉本企业产品、生产和质量管理情况，经实践证明具有较好履职能力；或管理者代表不能有效履职，但企业立即确定和任命新的管理者代表上岗，得3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CB2C6CE"/>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A408FCF"/>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195E5FF"/>
        </w:tc>
      </w:tr>
      <w:tr w14:paraId="14D268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1F0F6D6"/>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34037C4"/>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2D0A010"/>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676A584"/>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6DC104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学历、职务（企业高管）、职称、经历满足规定要求，基本熟悉本企业产品、生产和质量管理情况，经实践证明具有较好履职能力；或管理者代表不能有效履职，企业指定符合规定要求的人员临时代其履行职责，并于30个工作日内确定和任命新的管理者代表，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ADC4A30"/>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63EE058"/>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A5D9C5A"/>
        </w:tc>
      </w:tr>
      <w:tr w14:paraId="59E47F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33D124A"/>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59E3C42"/>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089B8FF"/>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883E4A9"/>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172087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学历、职务（企业高管）、职称、经历等不完全满足任职要求，或不能正常履职且无人代职，或30个工作日内未确定和任命新的管理者代表，不得分。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3F36BF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AE000D6"/>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B80F716"/>
        </w:tc>
      </w:tr>
      <w:tr w14:paraId="57D62A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2"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4E98583"/>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0675B99"/>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85E040B"/>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EC4617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1.3.3</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CED6B1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管理者代表持续参加企业质量管理体系相关培训，每年不少于20个课时，有相关的培训记录且记录真实完整的，得2分 ；</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E0639EB">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3CCFFD5">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8E67287"/>
        </w:tc>
      </w:tr>
      <w:tr w14:paraId="1EB129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DEF321C"/>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26C2C22"/>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42D16CB"/>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45E2EF2"/>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569405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管理者代表持续参加质量管理体系相关培训，但相关的培训记录不完整的，得1分；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5FF63E8"/>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754F5FE"/>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146FE26"/>
        </w:tc>
      </w:tr>
      <w:tr w14:paraId="17CAAD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8ECB679"/>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401B5D1"/>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9D22CCF"/>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EA5D95E"/>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7DF27A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管理者代表年内未参加质量管理体系相关培训或无相关培训记录的，不得分。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13277CE"/>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4A77580"/>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E3B6EA8"/>
        </w:tc>
      </w:tr>
      <w:tr w14:paraId="5C6246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018EC10"/>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213AEF9"/>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E7C1FE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管理者代表应当由企业负责人任命、授权，在企业内部独立履行职责，发现产品存在质量安全风险时，应当提出相关产品上市的否决意见或者停止生产活动的建议。</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管理者代表应当履行包括但不限于以下职责:</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（一）贯彻执行相关法律、法规、规章、规范、强制性标准和产品技术要求。</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（二）组织建立、实施并保持企业质量管理体系，向企业负责人报告质量管理体系的运行情况和改进需求。</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（三）确保产品符合放行要求，并组织开展上市后产品质量的信息收集工作。</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（四）组织开展企业自查、不良事件监测及报告、医疗器械召回等工作。</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（五）配合药品监督管理部门开展监督检查，针对发现的问题，组织企业相关部门按照要求及时整改。</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生产企业负责人应当与管理者代表签订授权书，明确管理者代表应当履行的质量管理职责并授予相应的权限。企业应当建立健全管理者代表相关管理制度和考核机制，为管理者代表履行职责提供必要条件，同时确保其在履行职责时不受企业内部因素的不当干扰。</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6FDE4F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1.3.4</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21A09D0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有管理者代表的任命、授权文件并对其职责做出明确规定，建立有效的管理制度和考核机制，确保在企业内部独立履行职责，按考核机制考核且留有考核记录；管理者代表不兼任其他岗位职责，具有内审员证书或接受过同等水平的系统化的质量管理体系知识培训；充分履行企业自查、不良事件监测及报告、医疗器械召回等管理者代表应当履行的职责并且留有相关记录，得5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EF51640">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AB25DB9">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C619A1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2CD429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9C1C8A2"/>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D8153FE"/>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812901C"/>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A331031"/>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28B185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有管理者代表的任命、授权文件并对其职责做出明确规定，建立相关的管理制度和考核机制，确保在企业内部独立履行职责，按考核机制考核且留有考核记录；充分履行企业自查、不良事件监测及报告、医疗器械召回等管理者代表应当履行的职责并且留有相关记录，得3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9CF1B46"/>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338C5A6"/>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F6B9F1B"/>
        </w:tc>
      </w:tr>
      <w:tr w14:paraId="09035C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8E3BE14"/>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3915635"/>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DA8CF0B"/>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CF34B3A"/>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6EC33D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存在无管理者代表的任命、授权文件或文件对其职责规定不明确，不能在企业内部独立履行职责，在其他公司兼职，不能充分履行自查报告、不良事件监测等管理者代表应当履行的职责或无其履职情况相关记录的情形之一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97B584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01F64AC"/>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AEA63FE"/>
        </w:tc>
      </w:tr>
      <w:tr w14:paraId="1758D1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045EAC7"/>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7D65B9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质量负责人</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75C00A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生产企业应当设立质量管理部门并任命质量管理部门负责人。质量管理部门负责人应当熟悉医疗器械相关法律、法规、规章、规范和标准，具有质量管理的实践经验和工作技能，并具备与所生产产品相匹配的专业知识和工作经历。</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质量管理部门负责人与生产管理部门负责人不得相互兼任。</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质量管理部门负责人应当履行包括但不限于以下职责：</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（一）依据质量控制程序要求，正确识别各项质量管控点，制定管理规程。</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（二）确保本部门人员经相关培训，掌握相关理论知识和实际操作技能。</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（三）对质量管理中的实际问题进行分析、判断和处理。</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7D9C2A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1.4.1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24733535">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医疗器械相关法规考试，得分≥90分，得3分；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D561592">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2CB0732">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C9BD3B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4B3AB6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8341CD6"/>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DB61195"/>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673B9EC"/>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ED32AB8"/>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195424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医疗器械相关法规考试，90＞得分≥75分，得2分；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E106A32"/>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521B131"/>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ACA547F"/>
        </w:tc>
      </w:tr>
      <w:tr w14:paraId="74ECFE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2C2480F"/>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E6549C7"/>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E7F1560"/>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B09E757"/>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110F62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医疗器械相关法规考试，得分＜75分，不得分。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49AE8EB"/>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DA6CAF8"/>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7CE2884"/>
        </w:tc>
      </w:tr>
      <w:tr w14:paraId="7A17C6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1368936"/>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3EE913A"/>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FFDF88B"/>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28282E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1.4.2</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0DD1C75">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具有质量管理的实践经验和工作技能，并具备与所生产产品相匹配的专业知识和工作经历，与生产管理部门负责人不互相兼任，制定了质量管控规程，涵盖各项质量管控点，确保本部门人员经过培训且留有培训记录，具有良好的履职能力，得5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4522FCF">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F24BE47">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B06B0A0"/>
        </w:tc>
      </w:tr>
      <w:tr w14:paraId="6058C1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779A6BF"/>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CA3F8A6"/>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6D750FF"/>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38586CE"/>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11CB1D6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具有质量管理的实践经验和工作技能，并具备与所生产产品相匹配的专业知识和工作经历，与生产管理部门负责人不互相兼任，制定了质量管控规程，确保本部门人员经过培训且留有培训记录，具有较好的履职能力，得3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CD70313"/>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181E920"/>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412B375"/>
        </w:tc>
      </w:tr>
      <w:tr w14:paraId="448DF6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550F1FF"/>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2816639"/>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744CDD3"/>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893602B"/>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468FBF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没有质量管理的实践经验和工作技能，或不具备与所生产产品相匹配的专业知识和工作经历，或质量管理负责人与生产管理部门负责人互相兼任，或不具备履职能力，不得分。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08C6645"/>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A80057B"/>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B5A8EBF"/>
        </w:tc>
      </w:tr>
      <w:tr w14:paraId="2CF2BE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16032A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二、质量安全管理机制（质量管控）</w:t>
            </w:r>
          </w:p>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2A90E9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质量管理体系</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B8D943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应当严格按照相关法律、法规、规章、规范等要求，开展医疗器械生产和经营活动。质量安全关键岗位人员应当充分履行岗位职责，保持质量管理体系持续有效运行，保证医疗器械生产全过程持续符合医疗器械生产质量管理规范要求。</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4DC397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highlight w:val="none"/>
                <w:u w:val="none"/>
                <w:lang w:val="en-US" w:eastAsia="zh-CN"/>
              </w:rPr>
              <w:t>2.1.1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5E98A1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年度日常监管无</w:t>
            </w:r>
            <w:r>
              <w:rPr>
                <w:rFonts w:hint="eastAsia" w:ascii="方正仿宋_GBK" w:eastAsia="方正仿宋_GBK" w:cs="方正仿宋_GBK"/>
                <w:i w:val="0"/>
                <w:iCs w:val="0"/>
                <w:color w:val="auto"/>
                <w:kern w:val="0"/>
                <w:sz w:val="21"/>
                <w:szCs w:val="21"/>
                <w:highlight w:val="none"/>
                <w:u w:val="none"/>
                <w:lang w:val="en-US" w:eastAsia="zh-CN"/>
              </w:rPr>
              <w:t>关键项目</w:t>
            </w:r>
            <w:r>
              <w:rPr>
                <w:rFonts w:hint="eastAsia" w:ascii="方正仿宋_GBK" w:eastAsia="方正仿宋_GBK" w:cs="方正仿宋_GBK"/>
                <w:i w:val="0"/>
                <w:iCs w:val="0"/>
                <w:color w:val="auto"/>
                <w:kern w:val="0"/>
                <w:sz w:val="21"/>
                <w:szCs w:val="21"/>
                <w:u w:val="none"/>
                <w:lang w:val="en-US" w:eastAsia="zh-CN"/>
              </w:rPr>
              <w:t>不符合，且单次检查一般项目不符合数量少于</w:t>
            </w:r>
            <w:r>
              <w:rPr>
                <w:rStyle w:val="6"/>
                <w:rFonts w:ascii="方正仿宋_GBK" w:eastAsia="方正仿宋_GBK" w:cs="方正仿宋_GBK"/>
                <w:color w:val="auto"/>
                <w:kern w:val="0"/>
                <w:sz w:val="21"/>
                <w:szCs w:val="21"/>
                <w:lang w:val="en-US" w:eastAsia="zh-CN"/>
              </w:rPr>
              <w:t>5</w:t>
            </w:r>
            <w:r>
              <w:rPr>
                <w:rStyle w:val="7"/>
                <w:rFonts w:ascii="方正仿宋_GBK" w:eastAsia="方正仿宋_GBK" w:cs="方正仿宋_GBK"/>
                <w:color w:val="auto"/>
                <w:kern w:val="0"/>
                <w:sz w:val="21"/>
                <w:szCs w:val="21"/>
                <w:lang w:val="en-US" w:eastAsia="zh-CN"/>
              </w:rPr>
              <w:t>条的，得5分；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B4F09E2">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99E2DC9">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E65B6E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4E4C5F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2"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FAE93B0"/>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6996616"/>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CEF4EB6"/>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6D03F30"/>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8BFA95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年度日常监管无关键项目不符合，且单次检查一般项目不符合数量少于15条；得3分。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574431F"/>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4B31F23"/>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0A1CD5C"/>
        </w:tc>
      </w:tr>
      <w:tr w14:paraId="2A49DF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2"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30DDB71"/>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A41A128"/>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D3A7D6E"/>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4E75EFD"/>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338A28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r>
              <w:rPr>
                <w:rFonts w:hint="eastAsia" w:ascii="方正仿宋_GBK" w:eastAsia="方正仿宋_GBK" w:cs="方正仿宋_GBK"/>
                <w:i w:val="0"/>
                <w:iCs w:val="0"/>
                <w:color w:val="auto"/>
                <w:kern w:val="0"/>
                <w:sz w:val="21"/>
                <w:szCs w:val="21"/>
                <w:u w:val="none"/>
                <w:lang w:val="en-US" w:eastAsia="zh-CN"/>
              </w:rPr>
              <w:t>年度日常监管检查中，单次检查一般项目不符合数量大于15条，不得分。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74F5015"/>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D76B80E"/>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51738C2"/>
        </w:tc>
      </w:tr>
      <w:tr w14:paraId="742F57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5"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4E6DAAA"/>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E62CE4C"/>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8730FBF"/>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94DB21A"/>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8502465">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highlight w:val="none"/>
                <w:u w:val="none"/>
                <w:lang w:val="en-US" w:eastAsia="zh-CN"/>
              </w:rPr>
              <w:t>年度内未接受现场检查的，该条款不适用。</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65F5BD5"/>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D4CE86E"/>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6D0AA9A"/>
        </w:tc>
      </w:tr>
      <w:tr w14:paraId="0AFA5A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7D49EE9"/>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EC1A2E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产品放行</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2D09FE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生产企业应当建立产品放行程序，明确产品放行条件及审核、批准要求。注册人、备案人应当负责产品上市放行，建立产品上市放行规程，明确放行标准、条件，由质量管理部门负责人组织对医疗器械生产过程记录和质量检验结果进行审核，符合标准和条件的，经授权的放行人员签字后方可上市。</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91EAE2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2.2.1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D7D700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建立产品放行程序，明确产品放行条件及审核、批准要求，并完全按照程序规定，对照产品放行标准，放行条件进行审核，经批准后放行的，得3分；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6654240">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8940848">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5D8B8C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09C081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DA1CDD0"/>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16EA039"/>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E1D2819"/>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5DCAD8D"/>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DEB1C0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建立产品放行程序，明确产品放行条件及审核、批准要求，基本按照程序规定，完成产品放行程序的，但存在不规范、不完整情形的，得2分；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57440CB"/>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40DA833"/>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A722F03"/>
        </w:tc>
      </w:tr>
      <w:tr w14:paraId="562658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16DE438"/>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B0A9915"/>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835D548"/>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DAE2315"/>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FB5EAD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未建立产品放行程序，或产品放行条件及审核、批准要求不明确，或未完全按照程序规定，完成产品放行程序的，不得分。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768187D"/>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FF8F542"/>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919137F"/>
        </w:tc>
      </w:tr>
      <w:tr w14:paraId="2A6665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6E046F8"/>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9498C23"/>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CF6BA05"/>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6ED8EB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2.2.2</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1E08A41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放行人员熟悉医疗器械放行标准、条件，具备良好生产质量控制能力，并经授权的，得3分；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F478CC2">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DA33811">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D2E9E3A"/>
        </w:tc>
      </w:tr>
      <w:tr w14:paraId="694647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3D715C8"/>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A567246"/>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42A349F"/>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C88E045"/>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180099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放行人员基本熟悉医疗器械放行标准、条件，基本具备生产质量控制能力，并经授权的，得2分；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483DB30"/>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FE47CFC"/>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32AFE7A"/>
        </w:tc>
      </w:tr>
      <w:tr w14:paraId="07023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EC44A4D"/>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CF14FCE"/>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CCA9870"/>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40F4921"/>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F10437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放行人员不熟悉医疗器械放行标准、条件，不具备生产质量控制能力，或未经授权的，不得分。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E99F122"/>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9FF5454"/>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7E1145B"/>
        </w:tc>
      </w:tr>
      <w:tr w14:paraId="1773B0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10F5031"/>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2B4DF5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纠防措施</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78B8F5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生产企业应当建立纠正和预防措施程序。</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7CB8B1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2.3.1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94C5B0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建立纠正和预防措施程序，有效实施风险管理，启动纠正预防措施，纠正预防措施有效，同类问题不会再次发生的，得3分；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4DDE9E3">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0559939">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429A86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2E9875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069DA14"/>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0083DF5"/>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CE87812"/>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6C10303"/>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62981E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建立纠正和预防措施程序，对发现的问题，采取纠正预防措施，但未有效关闭，或不能提供有效的整改证据的，得2分；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C5EEA98"/>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09A4CC3"/>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136752A"/>
        </w:tc>
      </w:tr>
      <w:tr w14:paraId="73ECDD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5"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465EC3F"/>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DDBDC9E"/>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E80FD91"/>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B62748F"/>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20A459F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未建立纠正和预防措施程序，对发现或潜在问题，未启动纠正预防措施或纠正预防措施无效，同类问题再次发生的，不得分。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C8AF4AE"/>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539BE19"/>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040D495"/>
        </w:tc>
      </w:tr>
      <w:tr w14:paraId="1E3993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D655FED"/>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87F626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不合格品控制</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BD2968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企业应当建立不合格品控制程序并形成文件。</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不合格品可以返工的，企业应当编制返工控制文件，对返工评审（含风险评估）、验证（如有）、返工的实施、返工后产品检验或评价、放行等相关流程进行规定，保证返工操作符合规定的流程。不合格品不能返工的，企业应当建立相关处置制度或程序。</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在产品交付后发生的不合格品，企业应当按照投诉处理、不良事件监测及召回等相关管理程序进行管理。交付后的不合格品应当放置在退货或召回区域，并做好标识。</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107689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2.4.1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2F24CF5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建立完整有效的不合格品控制程序、返工控制文件、不合格品处置制度文件等，按照文件规定对不合格品进行正确标识、隔离、评价、处置、召回并留存相应的记录的，得4分；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9DF0B82">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4</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02AA214">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A55CAB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6ADFD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0445847"/>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3E1FC4F"/>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C2E2E96"/>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AD4E4D6"/>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0FD40A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建立完整的不合格品控制程序、返工控制文件、不合格品处置制度文件等，按照文件规定对不合格品进行标识、隔离、评价、处置、召回等，存在一般不规范的，得2分；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627B6B3"/>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99DC0FD"/>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6F6030C"/>
        </w:tc>
      </w:tr>
      <w:tr w14:paraId="18BCE1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41739C5"/>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8677051"/>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F66E419"/>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54138C3"/>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9EA4DD5">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不合格品控制程序、返工控制文件、不合格品处置制度等未建立或制度建立不全，未按照文件规定对不合格品进行标识、隔离、评价、处置或处置过程中存在严重不规范的，不得分。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FAAB6A4"/>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B042FE5"/>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96A03EF"/>
        </w:tc>
      </w:tr>
      <w:tr w14:paraId="580341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2E1CD16"/>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C9AFFE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highlight w:val="none"/>
                <w:u w:val="none"/>
                <w:lang w:val="en-US" w:eastAsia="zh-CN"/>
              </w:rPr>
              <w:t>数据分析</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857C0C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应建立数据分析程序，规定数据来源（至少包含以下内容：产品质量、不良事件、顾客反馈等质量管理体系运行有关数据），统计分析周期，以验证产品安全性、有效性及质量体系运行情况，并保存相关记录。企业应当确保数据完整、真实，并根据数据类型及特点采用适宜的统计分析方法，企业应当依据数据统计分析结果制定对应措施或改进方向。</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02A06A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2.5.1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18B4430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建立数据分析程序，按文件要求定期对产品质量、不良事件、顾客反馈等质量管理体系运行有关数据进行分析统计，根据分析结果制定相应的措施及改进计划，按照计划有效实施并保留相关记录的，得4分；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4C45EC0">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4</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8D96293">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A4F2CC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7DF60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B2A4EA5"/>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7D6A153"/>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35D68AA"/>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3CE8248"/>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EC5620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建立数据分析程序，按文件要求定期对产品质量、不良事件、顾客反馈等质量管理体系运行有关数据进行分析统计，根据分析结果制定相应的措施及改进计划等存在一般不规范的，得2分；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FB0460C"/>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B847602"/>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1F0E568"/>
        </w:tc>
      </w:tr>
      <w:tr w14:paraId="02738A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B7A663A"/>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B230698"/>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EE28648"/>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F09BDB9"/>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66FE80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未建立数据分析相关制度文件或文件建立不全面，或未按要求对数据进行统计分析并保留相关记录的，不得分。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0258E27"/>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026FDBA"/>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0F38EB9"/>
        </w:tc>
      </w:tr>
      <w:tr w14:paraId="477AA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5"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2B217AED"/>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485AFB0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委托生产</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tcPr>
          <w:p w14:paraId="113F002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注册人、备案人委托生产的，应当按照国家药品监督管理局制定的医疗器械委托生产质量协议指南要求，由企业负责人或者其授权人签订质量协议以及委托协议，不得通过协议转移依法应当由注册人、备案人履行的义务和责任。委托生产前，医疗器械注册人、备案人的管理者代表应当组织对受托生产企业质量保证能力和风险管理能力进行评估，委托生产后，应当对所委托生产的医疗器械质量负责，并加强对受托生产企业生产行为的管理，保证其按照法定要求进行生产；定期组织对受托生产企业质量管理体系进行现场审核，并确保双方质量管理体系有效衔接。</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受托生产企业应当依照法律法规、医疗器械生产质量管理规范、强制性标准、产品技术要求和委托协议组织生产，对生产行为负责，积极接受注册人、备案人的审核和监督，并及时采取纠正和预防措施落实其整改要求。受托生产的产品不得再次委托生产。</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76A21A5">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2.6.1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F51B04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按照国家药品监督管理局制定的医疗器械委托生产质量协议指南要求，签订质量协议以及委托协议，双方权责明确，协议形式有效、结构合理、具有可操作性且内容真实完整的，得3分；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DD8BE77">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C68BDC0">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AE701E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22EC9C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2A793E90"/>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4074E7A0"/>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579CF615"/>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1E5669B"/>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DFC6B7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按照国家药品监督管理局制定的医疗器械委托生产质量协议指南要求，签订质量协议以及委托协议，双方权责明确，协议内容真实完整的，但协议与企业实际不完全一致的，得2分；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51676FF"/>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4937CBE"/>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F1C8587"/>
        </w:tc>
      </w:tr>
      <w:tr w14:paraId="7B3B15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1D87038C"/>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06DFBB13"/>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6FEAF303"/>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867864D"/>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239F93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未按照要求签订质量协议以及委托协议、质量协议以及委托协议内容不全，或通过协议转移义务和责任的，或协议与企业实际不一致的，不得分。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1EBDEB7"/>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6B5BB00"/>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FD5C1ED"/>
        </w:tc>
      </w:tr>
      <w:tr w14:paraId="2424F0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53C0C3AA"/>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7EC321A9"/>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2E55B4AB"/>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6DBE89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2.6.2</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1D8AEA4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委托生产前，医疗器械注册人、备案人的管理者代表组织对受托生产企业质量保证能力和风险管理能力进行评估并留有相关评估记录的，得3分；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EEDF2D0">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0D43D57">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381F520"/>
        </w:tc>
      </w:tr>
      <w:tr w14:paraId="3DDF2A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1FFE5600"/>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166F0934"/>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06812F24"/>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D2AC983"/>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2451F62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委托生产前，医疗器械注册人、备案人的管理者代表组织对受托生产企业质量保证能力和风险管理能力进行评估，但评估项目或记录不完整的，得2分；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BE8F958"/>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5F0E4EF"/>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996F4A2"/>
        </w:tc>
      </w:tr>
      <w:tr w14:paraId="08C127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01B4E064"/>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5D6C67B3"/>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405B862E"/>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EC34837"/>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F60467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委托生产前，医疗器械注册人、备案人未对受托生产企业质量保证能力和风险管理能力进行综合评估，或无相关评估记录的，不得分。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F9DA9BB"/>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DFC67D5"/>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2316C7C"/>
        </w:tc>
      </w:tr>
      <w:tr w14:paraId="32AA2F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5FBE7776"/>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66D9CD15"/>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26344430"/>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11CB9F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2.6.3</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B55C34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委托生产后，制定现场审核制度，每年对受托生产企业质量管理体系进行现场审核次数不少于1次，现场审核报告内容全面、记录准确完整的，得3分；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70CD220">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583E326">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831D74F"/>
        </w:tc>
      </w:tr>
      <w:tr w14:paraId="5FD437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70E45023"/>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76D54527"/>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069C1228"/>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81D4D3F"/>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922E82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委托生产后，制定现场审核制度，每年对受托生产企业质量管理体系进行现场审核次数不少于1次，现场审核报告内容、记录不全面、完整的，得2分；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B6751C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4F93C79"/>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14858D8"/>
        </w:tc>
      </w:tr>
      <w:tr w14:paraId="1AE0E4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6A1CF783"/>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3382B414"/>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5EE4ADD7"/>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9EA2FA8"/>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6643EE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委托生产后，未制定现场审核制度，或</w:t>
            </w:r>
            <w:r>
              <w:rPr>
                <w:rStyle w:val="6"/>
                <w:rFonts w:ascii="方正仿宋_GBK" w:eastAsia="方正仿宋_GBK" w:cs="方正仿宋_GBK"/>
                <w:color w:val="auto"/>
                <w:kern w:val="0"/>
                <w:sz w:val="21"/>
                <w:szCs w:val="21"/>
                <w:lang w:val="en-US" w:eastAsia="zh-CN"/>
              </w:rPr>
              <w:t>年内未</w:t>
            </w:r>
            <w:r>
              <w:rPr>
                <w:rStyle w:val="7"/>
                <w:rFonts w:ascii="方正仿宋_GBK" w:eastAsia="方正仿宋_GBK" w:cs="方正仿宋_GBK"/>
                <w:color w:val="auto"/>
                <w:kern w:val="0"/>
                <w:sz w:val="21"/>
                <w:szCs w:val="21"/>
                <w:lang w:val="en-US" w:eastAsia="zh-CN"/>
              </w:rPr>
              <w:t>对受托生产企业质量管理体系进行现场审核的，不得分。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D234155"/>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BCF10C6"/>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DDA3E94"/>
        </w:tc>
      </w:tr>
      <w:tr w14:paraId="53B06E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3F1EA127"/>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0EEEA10D"/>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7F332DBC"/>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FDCA8E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2.6.4</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FC348D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受托生产企业按要求组织生产，积极接受注册人、备案人的审核和监督，及时采取纠正和预防措施落实其整改要求，并留有相关记录的，得3分；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15A84B5">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5AEA0B0">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50A4D81"/>
        </w:tc>
      </w:tr>
      <w:tr w14:paraId="53CFDB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19520889"/>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4E843BC7"/>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2E216FC3"/>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8539F99"/>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CF0816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受托生产企业按要求组织生产，积极接受注册人、备案人的审核和监督，及时采取纠正和预防措施落实其整改要求，但整改或记录存在不充分、全面的，得2分；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96D620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3493110"/>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83108E7"/>
        </w:tc>
      </w:tr>
      <w:tr w14:paraId="2C88BE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5AB589FB"/>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3D3E5A0D"/>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065B6185"/>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BEE4D53"/>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2F3E077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受托生产企业不能按要求，严格组织生产，或无正当理由不配合接受注册人、备案人的审核和监督的，或将受托产品进行再次委托的，不得分。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2AC13AD"/>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4F6AE73"/>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4835AD7"/>
        </w:tc>
      </w:tr>
      <w:tr w14:paraId="25920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39183C8F"/>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598B8037"/>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55B2A1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生产企业应当建立产品放行程序，明确产品放行条件及审核、批准要求。</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注册人、备案人应当建立产品上市放行规程，由质量管理部门负责人组织对医疗器械生产过程记录和质量检验结果进行审核。产品上市放行不得委托受托生产企业进行。</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受托生产企业应当建立生产放行规程，由质量管理部门负责人组织对医疗器械生产过程进行审核，对产品进行检验。</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C07642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2.6.5</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2D9DBF7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受托生产企业进行生产放行，对生产过程进行审核和检验且相关记录完整可追溯，注册人、备案人完成产品上市放行，明确授权放行人，对受托生产放行文件审核且相关记录完整可追溯的，得3分；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A6533E0">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31CB576">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AB657E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556752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26568A94"/>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532CE6E5"/>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A1EEA7E"/>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FF376DB"/>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1D456F2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受托生产企业进行生产放行，对生产过程进行审核和检验，注册人、备案人完成产品上市放行，对受托生产生产放行文件审核，但相关记录不够完整的，得2分；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388B703"/>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463953B"/>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8EDFED0"/>
        </w:tc>
      </w:tr>
      <w:tr w14:paraId="1440E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14:paraId="2F2136CA"/>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FFFFFF"/>
            <w:noWrap/>
            <w:vAlign w:val="center"/>
          </w:tcPr>
          <w:p w14:paraId="0E87AC4B"/>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5F6C9AC"/>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04DD613"/>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480863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未建立产品放行程序，或未按程序要求进行放行的，不得分。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BBFDB53"/>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28022B0"/>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E140AFF"/>
        </w:tc>
      </w:tr>
      <w:tr w14:paraId="37F23F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A35D70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三、监管部门报告制度</w:t>
            </w:r>
          </w:p>
        </w:tc>
        <w:tc>
          <w:tcPr>
            <w:tcW w:w="1409"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5723ADB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自查报告</w:t>
            </w:r>
          </w:p>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1D13FF0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注册人、备案人、受托生产企业应当每年对质量管理体系的运行情况进行自查，并于次年3月31日前向所在地药品监督管理部门提交自查报告；进口医疗器械注册人、备案人由其代理人向代理人所在地省、自治区、直辖市药品监督管理部门提交自查报告。</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C91D23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3.1.1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2A7123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应该报告的事项，企业按照报告内容要求，在规定时限内、规范、全面完成上报事项的，得9分；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933CF0F">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9</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D85F04B">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6FC854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71171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E33E448"/>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9DB389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生产事项报告</w:t>
            </w:r>
          </w:p>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CC0695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车间或者生产线进行改造，导致生产条件发生变化，可能影响医疗器械安全、有效的，应当向原发证部门报告；属于许可事项变化的，应当按照规定办理相关许可变更手续。</w:t>
            </w:r>
          </w:p>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705AEB9"/>
        </w:tc>
        <w:tc>
          <w:tcPr>
            <w:tcW w:w="5470" w:type="dxa"/>
            <w:vMerge w:val="restart"/>
            <w:tcBorders>
              <w:top w:val="single" w:color="000000" w:sz="4" w:space="0"/>
              <w:left w:val="single" w:color="000000" w:sz="4" w:space="0"/>
              <w:bottom w:val="single" w:color="000000" w:sz="4" w:space="0"/>
              <w:right w:val="single" w:color="000000" w:sz="4" w:space="0"/>
              <w:tl2br w:val="nil"/>
              <w:tr2bl w:val="nil"/>
            </w:tcBorders>
            <w:noWrap/>
          </w:tcPr>
          <w:p w14:paraId="1278288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应该报告的事项，企业按照报告内容要求，在规定时限内完成上报事项，但报告内容存在部分不完整、不规范情形的，得5分；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70B50B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79FE6DC"/>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52544E1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08DB1E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3015ACA"/>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CF973A1"/>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941E38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生产企业应当向药品监督管理部门报告所生产的产品品种情况；增加生产产品品种的，应当向原生产许可或者生产备案部门报告，涉及委托生产的，还应当提供委托方、受托生产产品、受托期限等信息；属于许可事项变化的，应当按照规定办理相关许可变更。</w:t>
            </w:r>
          </w:p>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40A63CB"/>
        </w:tc>
        <w:tc>
          <w:tcPr>
            <w:tcW w:w="5470"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31D3CEC0"/>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61B454F"/>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1F855DA"/>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D8DD8B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53401F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9"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7D9FF42"/>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5E41724"/>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8D6481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医疗器械生产企业连续停产一年以上且无同类产品在产的，重新生产时，应当进行必要的验证和确认，并提前书面报告药品监督管理部门。</w:t>
            </w:r>
          </w:p>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F25F362"/>
        </w:tc>
        <w:tc>
          <w:tcPr>
            <w:tcW w:w="5470"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64E843C9"/>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CC38E97"/>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2438DA0"/>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D53158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7C629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9"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9B255F7"/>
        </w:tc>
        <w:tc>
          <w:tcPr>
            <w:tcW w:w="1409"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577834F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管代变更</w:t>
            </w:r>
          </w:p>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368DAA3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企业应当在确定或变更管理者代表15个工作日内向所在地药品监督管理部门报告。</w:t>
            </w:r>
          </w:p>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9FCD2E0"/>
        </w:tc>
        <w:tc>
          <w:tcPr>
            <w:tcW w:w="5470" w:type="dxa"/>
            <w:vMerge w:val="restart"/>
            <w:tcBorders>
              <w:top w:val="single" w:color="000000" w:sz="4" w:space="0"/>
              <w:left w:val="single" w:color="000000" w:sz="4" w:space="0"/>
              <w:bottom w:val="single" w:color="000000" w:sz="4" w:space="0"/>
              <w:right w:val="single" w:color="000000" w:sz="4" w:space="0"/>
              <w:tl2br w:val="nil"/>
              <w:tr2bl w:val="nil"/>
            </w:tcBorders>
            <w:noWrap/>
          </w:tcPr>
          <w:p w14:paraId="11F3374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应该报告的事项，企业未按照要求进行上报或未在规定时间内完成报告的，存在一项，即不得分。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8E8EC46"/>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83EC308"/>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05A5396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16BCFA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9"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7FF9243"/>
        </w:tc>
        <w:tc>
          <w:tcPr>
            <w:tcW w:w="1409"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0EA6EA5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其他</w:t>
            </w:r>
          </w:p>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41CE4B8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法规规定其他需要报告的情形。</w:t>
            </w:r>
          </w:p>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37E8795"/>
        </w:tc>
        <w:tc>
          <w:tcPr>
            <w:tcW w:w="5470" w:type="dxa"/>
            <w:vMerge w:val="continue"/>
            <w:tcBorders>
              <w:top w:val="single" w:color="000000" w:sz="4" w:space="0"/>
              <w:left w:val="single" w:color="000000" w:sz="4" w:space="0"/>
              <w:bottom w:val="single" w:color="000000" w:sz="4" w:space="0"/>
              <w:right w:val="single" w:color="000000" w:sz="4" w:space="0"/>
              <w:tl2br w:val="nil"/>
              <w:tr2bl w:val="nil"/>
            </w:tcBorders>
            <w:noWrap/>
          </w:tcPr>
          <w:p w14:paraId="28FE58FE"/>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06B0A36"/>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DEECD5F"/>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54D22E5F">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370FC1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4B2F86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highlight w:val="none"/>
                <w:u w:val="none"/>
                <w:lang w:val="en-US" w:eastAsia="zh-CN"/>
              </w:rPr>
              <w:t>四、企业质量安全关键岗位履职保障机制</w:t>
            </w:r>
          </w:p>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CD36F4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保障机制</w:t>
            </w:r>
            <w:r>
              <w:rPr>
                <w:rStyle w:val="6"/>
                <w:rFonts w:ascii="方正仿宋_GBK" w:eastAsia="方正仿宋_GBK" w:cs="方正仿宋_GBK"/>
                <w:color w:val="auto"/>
                <w:kern w:val="0"/>
                <w:sz w:val="21"/>
                <w:szCs w:val="21"/>
                <w:lang w:val="en-US" w:eastAsia="zh-CN"/>
              </w:rPr>
              <w:t>（评分机制）</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A210E5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企业应当建立健全质量安全关键岗位人员履职保障机制，明确岗位职责、任职条件，给予与岗位职责相适应的培训、权限和资源，为质量安全关键岗位人员充分履职提供必要保障。</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企业应当制定质量安全关键岗位说明书，明确质量安全关键岗位人员主要职责，并规定管理者代表、质量负责人、质量管理部门负责人的任职条件和所需权限。</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DD1F055">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4.1.1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2B8DDAB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按要求建有质量安全关键岗位人员履职保障机制，制定质量安全关键岗位说明书，机制健全、充分，说明书内容完整、准确，可有效为质量安全关键岗位人员充分履职提供必要保障，并且按照文件规定执行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EEA29ED">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0AA7FCC">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22C695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363095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2D79F53"/>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FE9E787"/>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B1A0990"/>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F6F57F7"/>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985366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按要求建有质量安全关键岗位人员履职保障机制，制定质量安全关键岗位说明书，但机制、说明书内容不够充分、完整、准确，或未严格按照文件规定执行的，得2分；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C8099C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C73029B"/>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174F26D"/>
        </w:tc>
      </w:tr>
      <w:tr w14:paraId="6C23D3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B52DE37"/>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44BB362"/>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14D415F"/>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9879910"/>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871828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未建立履职保障机制、未制定质量安全关键岗位说明书，或履职保障机制不适宜，质量安全关键岗位说明书制定不合理的，不得分。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EA1E514"/>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F66D547"/>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A7636DD"/>
        </w:tc>
      </w:tr>
      <w:tr w14:paraId="590328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D782D6C"/>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CD1BF8C"/>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458AFF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企业应当按照质量管理体系要求，对质量安全关键岗位人员进行与其职责和工作内容相关的岗前培训和继续教育，建立培训记录。培训内容应当包括相关法律法规、医疗器械专业知识及技能、质量管理制度等。</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生产企业管理者代表、质量管理部门负责人应当在职在岗，并履行岗位职责。企业应当按照质量管理体系要求，对质量安全关键岗位负责人员的任命、调整、责任履行等情况予以记录，存档备查。</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7210D1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4.2.1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4753E32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按照质量管理体系要求，对质量安全关键岗位人员进行相应的岗前培训和继续教育，并留有相关记录；生产企业管理者代表、质量管理部门负责人在职在岗，岗位职责履行良好；对质量安全关键岗位负责人员的任命、调整、责任履行等情况予以记录且存档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7653C00">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3166FCD">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FF9416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163E6C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6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00BA221"/>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AAA441C"/>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4BA2656"/>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703F604"/>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880683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按照质量管理体系要求，对质量安全关键岗位人员进行相应的岗前培训和继续教育，但记录存在不完整的；生产企业管理者代表、质量管理部门负责人在职在岗，履行岗位职责较好；对质量安全关键岗位负责人员的任命、调整、责任履行等情况予以记录，但记录不完整或未按要求存档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C1571C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C7FB06D"/>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CD275AC"/>
        </w:tc>
      </w:tr>
      <w:tr w14:paraId="7522B8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7B00A88"/>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CF080D2"/>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B8BBF5A"/>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E45E721"/>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B34AF9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未对质量安全关键岗位人员进行与其职责和工作内容相关的岗前培训和继续教育，或无培训、质量关键岗位负责人员履职情况等记录的，不得分。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F2CF4D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0DEF2B3"/>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90D9B1B"/>
        </w:tc>
      </w:tr>
      <w:tr w14:paraId="2713E9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7458447"/>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EB3F13E"/>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C41BD1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注册人、备案人以及从事医疗器械生产活动的单位和个人应当对监督检查、飞行检查、医疗器械不良事件调查和抽样检验等监督管理活动予以配合；被检查单位及有关人员应当及时按照检查组要求，明确检查现场负责人，开放相关场所或者区域，配合对相关设施设备的检查，保持正常生产状态，提供真实、有效、完整的文件、记录、票据、凭证、电子数据等相关材料，如实回答检查组的询问。</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C3136B5">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4.3.1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D0D042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积极配合监管部门，完成监督检查、飞行检查、许可检查、监督抽检等各类监督管理活动，提供真实、有效、完整的文件、记录、票据、凭证、电子数据等相关材料，如实回答检查组的询问的，得5分；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226549F">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E8D3C8D">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3ADF92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58B127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63CBB15"/>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654BB3F"/>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106451C"/>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47B2B23"/>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5C92CA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未配合监管部门，完成监督检查、飞行检查、许可检查、监督抽检等各类监督管理活动，对检查组要求提供的材料不能及时提供，对检查组的询问不予理睬的，不得分。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831D4BC"/>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36D8ADC"/>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4B31F9B"/>
        </w:tc>
      </w:tr>
      <w:tr w14:paraId="44AF29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atLeast"/>
          <w:jc w:val="center"/>
        </w:trPr>
        <w:tc>
          <w:tcPr>
            <w:tcW w:w="1228"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EEF50B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五、上市后研究</w:t>
            </w:r>
          </w:p>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CC5C23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上市后研究</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C6CF56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企业应当对上市医疗器械安全性进行持续研究，对产品的顾客抱怨，投诉举报、监测资料和国内外风险信息进行汇总、分析、评价并保留相关的记录；应对法规、产品标准的变化，进行相应的评估、研究和处置；</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产品附条件审批的，应在规定时间内按规定要求完成相应的研究。</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风险评估报告。</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4473AD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5.1.1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EEE92A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对上市医疗器械安全性进行持续研究，按要求撰写定期风险评价报告；对产品的不良事件、顾客抱怨，投诉举报、监测资料和国内外风险信息进行汇总、分析及评价并保留相关记录；针对法规、产品标准的变化，进行相应的评估、研究和处置并保留相关记录；对产品附条件审批的，在规定时间内按规定要求完成相应的研究；得5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16C1510">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7B4F780">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4EE0C7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69383B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0A8F2B2"/>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F84CBB7"/>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5CEAE6E"/>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05517E2"/>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6A70A1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对上市医疗器械安全性进行持续研究，按要求撰写定期风险评价报告；对产品的不良事件，顾客抱怨，投诉举报、监测资料和国内外风险信息进行汇总、分析及评价并保留相关记录；针对法规、产品标准的变化，进行相应的评估、研究和处置并保留相关记录；对产品附条件审批的，在规定时间内按规定要求完成相应的研究，但报告、评价或研究内容存在部分不规范情形的，得3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3DD0BBD"/>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B50EABD"/>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A5F064B"/>
        </w:tc>
      </w:tr>
      <w:tr w14:paraId="04F750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A6B70F6"/>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41749A3"/>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2D4E08C"/>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7E8A9EE"/>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E551F65">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对产品的顾客抱怨，不良事件，投诉举报、监测资料和国内外风险信息进行汇总、分析及评价；或针对法规、产品标准的变化，未进行相应的评估、研究和处置；产品附条件审批的，未在规定时间内按规定要求完成相应的研究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D2E2F9A"/>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5158E38"/>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4A98DF3"/>
        </w:tc>
      </w:tr>
      <w:tr w14:paraId="75069D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00" w:hRule="atLeast"/>
          <w:jc w:val="center"/>
        </w:trPr>
        <w:tc>
          <w:tcPr>
            <w:tcW w:w="1228"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591F6BE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六、不良事件监测</w:t>
            </w:r>
          </w:p>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210B13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不良事件监测</w:t>
            </w: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619258F">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医疗器械注册人、备案人、受托生产企业应当按照医疗器械不良事件监测相关规定落实不良事件监测责任，开展不良事件监测，向医疗器械不良事件监测技术机构报告调查、分析、评价、产品风险控制等情况。</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2D0C20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6.1.1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B8E739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不良事件监测和在评价工作制度及相关工作程序，有专职人员从事相关工作；在不良事件监测信息平台注册并及时更新用户和产品信息等信息，按法规要求开展不良事件监测、上报、后续调查、分析和评价并保留相关记录的，得5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6EBD24A">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3AFE40B2">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2AE82D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4BEF29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0B8534F"/>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6E57310"/>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B2D7D8C"/>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F8D5717"/>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17078F8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建立不良事件监测和在评价工作制度及相关工作程序但工作程序不完整，有专门人员从事相关工作；在不良事件监测信息平台注册并及时更新用户和产品信息等信息，按法规要求开展不良事件监测、上报、后续调查、分析和评价，但记录不够完整的，得3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2DC638F"/>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E81B7AB"/>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79D8B2B"/>
        </w:tc>
      </w:tr>
      <w:tr w14:paraId="7F4DFC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B6EE483"/>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A0836AA"/>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8DFC394"/>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F504565"/>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496237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未建立不良事件监测和在评价工作制度及相关工作程序，未在不良事件监测信息平台注册或未及时更新用户和产品信息等信息，未按法规要求开展不良事件监测、上报、后续调查、分析和评价并保留相关记录的，不得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3347982"/>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67A39A5"/>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ADE04DD"/>
        </w:tc>
      </w:tr>
      <w:tr w14:paraId="0F3BE9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189CD2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七、加分情形</w:t>
            </w:r>
          </w:p>
        </w:tc>
        <w:tc>
          <w:tcPr>
            <w:tcW w:w="1409"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F9C241A">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3FDE02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鼓励企业与高等学校、科研院所、医疗机构等合作开展医疗器械的研究与创新；鼓励加强医疗器械知识产权保护，提高医疗器械自主创新能力</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FF7684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7.1.1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9087D3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rPr>
            </w:pPr>
            <w:r>
              <w:rPr>
                <w:rFonts w:hint="eastAsia" w:ascii="方正仿宋_GBK" w:eastAsia="方正仿宋_GBK" w:cs="方正仿宋_GBK"/>
                <w:i w:val="0"/>
                <w:iCs w:val="0"/>
                <w:color w:val="auto"/>
                <w:kern w:val="0"/>
                <w:sz w:val="21"/>
                <w:szCs w:val="21"/>
                <w:u w:val="none"/>
                <w:lang w:val="en-US" w:eastAsia="zh-CN"/>
              </w:rPr>
              <w:t>企业与高等学校、科研院所、医疗机构等合作或自主开展医疗器械的研究与创新，其中当年取得三类创新产品注册证的，得3分。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48C48BA1">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3743C72">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18DD827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753822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D748939"/>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DF7A4D6"/>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A13255B"/>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85D46CF"/>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72AE31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企业与高等学校、科研院所、医疗机构等合作或自主开展医疗器械的研究与创新，其中当年取得</w:t>
            </w:r>
            <w:r>
              <w:rPr>
                <w:rFonts w:hint="eastAsia" w:ascii="方正仿宋_GBK" w:eastAsia="方正仿宋_GBK" w:cs="方正仿宋_GBK"/>
                <w:i w:val="0"/>
                <w:iCs w:val="0"/>
                <w:color w:val="auto"/>
                <w:kern w:val="0"/>
                <w:sz w:val="21"/>
                <w:szCs w:val="21"/>
                <w:highlight w:val="none"/>
                <w:u w:val="none"/>
                <w:lang w:val="en-US" w:eastAsia="zh-CN"/>
              </w:rPr>
              <w:t>二类创新</w:t>
            </w:r>
            <w:r>
              <w:rPr>
                <w:rFonts w:hint="eastAsia" w:ascii="方正仿宋_GBK" w:eastAsia="方正仿宋_GBK" w:cs="方正仿宋_GBK"/>
                <w:i w:val="0"/>
                <w:iCs w:val="0"/>
                <w:color w:val="auto"/>
                <w:kern w:val="0"/>
                <w:sz w:val="21"/>
                <w:szCs w:val="21"/>
                <w:u w:val="none"/>
                <w:lang w:val="en-US" w:eastAsia="zh-CN"/>
              </w:rPr>
              <w:t>产品注册证的，得2分。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FC671FE"/>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48220FA"/>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21EEAD3"/>
        </w:tc>
      </w:tr>
      <w:tr w14:paraId="2C1E9E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30F4549"/>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4A18DD1"/>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3618CC7"/>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004FFA2"/>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B2D0CE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企业与高等学校、科研院所、医疗机构等合作或自主开展医疗器械的研究与创新，其中当年取得发明专利授权的，</w:t>
            </w:r>
            <w:r>
              <w:rPr>
                <w:rFonts w:hint="eastAsia" w:ascii="方正仿宋_GBK" w:eastAsia="方正仿宋_GBK" w:cs="方正仿宋_GBK"/>
                <w:i w:val="0"/>
                <w:iCs w:val="0"/>
                <w:color w:val="auto"/>
                <w:kern w:val="0"/>
                <w:sz w:val="21"/>
                <w:szCs w:val="21"/>
                <w:highlight w:val="none"/>
                <w:u w:val="none"/>
                <w:lang w:val="en-US" w:eastAsia="zh-CN"/>
              </w:rPr>
              <w:t>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E857463"/>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B33B64B"/>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37F614E"/>
        </w:tc>
      </w:tr>
      <w:tr w14:paraId="42DB41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111C41F"/>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A91544F"/>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5AB18C6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鼓励采用先进技术手段进行进货查验记录和销售记录应当真实、准确、完整和可追溯，并按照国务院药品监督管理部门规定的期限予以保存。</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鼓励医疗器械注册人、备案人、受托生产企业采用先进技术手段，建立信息化管理系统，加强对生产过程的管理。</w:t>
            </w:r>
          </w:p>
        </w:tc>
        <w:tc>
          <w:tcPr>
            <w:tcW w:w="86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1827DFD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7.2.1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0571CA7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企业建立全流程的信息化管理系统，实现生产管理过程的信息化。</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1A92E689">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16A47D67">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4B25A69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7B2DC0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4F941CC"/>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E43B022"/>
        </w:tc>
        <w:tc>
          <w:tcPr>
            <w:tcW w:w="4152"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072D66B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参与国际标准起草，或牵头制、修订国家标准或行业标准的。</w:t>
            </w:r>
          </w:p>
        </w:tc>
        <w:tc>
          <w:tcPr>
            <w:tcW w:w="86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6954BAF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7.3.1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5F4B13C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企业参与国际标准起草的，得3分；</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AAED78A">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810"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2E0B85E2">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vMerge w:val="restart"/>
            <w:tcBorders>
              <w:top w:val="single" w:color="000000" w:sz="4" w:space="0"/>
              <w:left w:val="single" w:color="000000" w:sz="4" w:space="0"/>
              <w:bottom w:val="single" w:color="000000" w:sz="4" w:space="0"/>
              <w:right w:val="single" w:color="000000" w:sz="4" w:space="0"/>
              <w:tl2br w:val="nil"/>
              <w:tr2bl w:val="nil"/>
            </w:tcBorders>
            <w:noWrap/>
            <w:vAlign w:val="center"/>
          </w:tcPr>
          <w:p w14:paraId="782A734B">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27AF2E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A26E8ED"/>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7E5DC97"/>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8BF5240"/>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26B7938"/>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7B032B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企业牵头制、修订国家标准、行业标准的，得2分；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7E009B4"/>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4F2F1E9"/>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F404B51"/>
        </w:tc>
      </w:tr>
      <w:tr w14:paraId="3336AF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23AC50B4"/>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CEA8279"/>
        </w:tc>
        <w:tc>
          <w:tcPr>
            <w:tcW w:w="4152"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A6F4593"/>
        </w:tc>
        <w:tc>
          <w:tcPr>
            <w:tcW w:w="86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EBCCCBE"/>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3051AEF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企业参与制、修订国家标准、行业标准的，得1分；</w:t>
            </w:r>
          </w:p>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69F853E"/>
        </w:tc>
        <w:tc>
          <w:tcPr>
            <w:tcW w:w="810"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2347181"/>
        </w:tc>
        <w:tc>
          <w:tcPr>
            <w:tcW w:w="783"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0B029B0"/>
        </w:tc>
      </w:tr>
      <w:tr w14:paraId="676560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6F44136"/>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667F367"/>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1B8A9B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在全省医疗器械行业起到示范引领作用的。</w:t>
            </w:r>
          </w:p>
        </w:tc>
        <w:tc>
          <w:tcPr>
            <w:tcW w:w="86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BA714C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7.4.1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6FE131C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在全省医疗器械行业起到示范引领作用的。</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4D94102F">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3DFDE6D">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DF14FC2">
            <w:pPr>
              <w:keepNext w:val="0"/>
              <w:keepLines w:val="0"/>
              <w:pageBreakBefore w:val="0"/>
              <w:widowControl/>
              <w:kinsoku/>
              <w:wordWrap/>
              <w:overflowPunct/>
              <w:topLinePunct w:val="0"/>
              <w:autoSpaceDE/>
              <w:autoSpaceDN/>
              <w:bidi w:val="0"/>
              <w:adjustRightInd w:val="0"/>
              <w:snapToGrid w:val="0"/>
              <w:spacing w:line="320" w:lineRule="exact"/>
              <w:textAlignment w:val="center"/>
              <w:rPr>
                <w:rFonts w:hint="eastAsia" w:ascii="方正仿宋_GBK" w:eastAsia="方正仿宋_GBK" w:cs="方正仿宋_GBK"/>
                <w:i w:val="0"/>
                <w:iCs w:val="0"/>
                <w:color w:val="auto"/>
                <w:kern w:val="0"/>
                <w:sz w:val="21"/>
                <w:szCs w:val="21"/>
                <w:u w:val="none"/>
              </w:rPr>
            </w:pPr>
          </w:p>
        </w:tc>
      </w:tr>
      <w:tr w14:paraId="6BED2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5275EEB"/>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36C85F4F"/>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1AA839F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注册人应当能够依法承担医疗器械质量安全责任，鼓励通过购买商业保险等形式，建立与产品风险程度、市场规模和人身损害赔偿标准等因素相匹配的责任赔偿能力。</w:t>
            </w:r>
          </w:p>
        </w:tc>
        <w:tc>
          <w:tcPr>
            <w:tcW w:w="86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5A61A4B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7.5.1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33C7B38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企业已通过购买商业保险等形式，具备责任赔偿能力。</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7124AC2">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5FF1A7F">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38AB978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70F871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545CF2B1"/>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62541C48"/>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94D299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通过质量管理体系数字化评级及智能制造能力成熟度标准评估。</w:t>
            </w:r>
          </w:p>
        </w:tc>
        <w:tc>
          <w:tcPr>
            <w:tcW w:w="86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62447A8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7.6.1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47AC37F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通过质量管理体系数字化评级及智能制造能力成熟度标准评估。</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39722151">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54C7B72F">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4A1AD1C6">
            <w:pPr>
              <w:keepNext w:val="0"/>
              <w:keepLines w:val="0"/>
              <w:pageBreakBefore w:val="0"/>
              <w:widowControl/>
              <w:kinsoku/>
              <w:wordWrap/>
              <w:overflowPunct/>
              <w:topLinePunct w:val="0"/>
              <w:autoSpaceDE/>
              <w:autoSpaceDN/>
              <w:bidi w:val="0"/>
              <w:adjustRightInd w:val="0"/>
              <w:snapToGrid w:val="0"/>
              <w:spacing w:line="320" w:lineRule="exact"/>
              <w:textAlignment w:val="center"/>
              <w:rPr>
                <w:rFonts w:hint="eastAsia" w:ascii="方正仿宋_GBK" w:eastAsia="方正仿宋_GBK" w:cs="方正仿宋_GBK"/>
                <w:i w:val="0"/>
                <w:iCs w:val="0"/>
                <w:color w:val="auto"/>
                <w:kern w:val="0"/>
                <w:sz w:val="21"/>
                <w:szCs w:val="21"/>
                <w:u w:val="none"/>
              </w:rPr>
            </w:pPr>
          </w:p>
        </w:tc>
      </w:tr>
      <w:tr w14:paraId="0D1484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1260E840"/>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0EF8F2F7"/>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045BFD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实验室取得CNAS等认证。</w:t>
            </w:r>
          </w:p>
        </w:tc>
        <w:tc>
          <w:tcPr>
            <w:tcW w:w="86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B54511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7.7.1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2DBA43C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lang w:val="en-US"/>
              </w:rPr>
            </w:pPr>
            <w:r>
              <w:rPr>
                <w:rFonts w:hint="eastAsia" w:ascii="方正仿宋_GBK" w:eastAsia="方正仿宋_GBK" w:cs="方正仿宋_GBK"/>
                <w:i w:val="0"/>
                <w:iCs w:val="0"/>
                <w:color w:val="auto"/>
                <w:kern w:val="0"/>
                <w:sz w:val="21"/>
                <w:szCs w:val="21"/>
                <w:u w:val="none"/>
                <w:lang w:val="en-US" w:eastAsia="zh-CN"/>
              </w:rPr>
              <w:t>企业当年实验室取得CNAS等认证。其他认证情形。</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6EC537A">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8BE92BE">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4E898B2">
            <w:pPr>
              <w:keepNext w:val="0"/>
              <w:keepLines w:val="0"/>
              <w:pageBreakBefore w:val="0"/>
              <w:widowControl/>
              <w:kinsoku/>
              <w:wordWrap/>
              <w:overflowPunct/>
              <w:topLinePunct w:val="0"/>
              <w:autoSpaceDE/>
              <w:autoSpaceDN/>
              <w:bidi w:val="0"/>
              <w:adjustRightInd w:val="0"/>
              <w:snapToGrid w:val="0"/>
              <w:spacing w:line="320" w:lineRule="exact"/>
              <w:textAlignment w:val="center"/>
              <w:rPr>
                <w:rFonts w:hint="eastAsia" w:ascii="方正仿宋_GBK" w:eastAsia="方正仿宋_GBK" w:cs="方正仿宋_GBK"/>
                <w:i w:val="0"/>
                <w:iCs w:val="0"/>
                <w:color w:val="auto"/>
                <w:kern w:val="0"/>
                <w:sz w:val="21"/>
                <w:szCs w:val="21"/>
                <w:u w:val="none"/>
              </w:rPr>
            </w:pPr>
          </w:p>
        </w:tc>
      </w:tr>
      <w:tr w14:paraId="27C70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228"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7D778A86"/>
        </w:tc>
        <w:tc>
          <w:tcPr>
            <w:tcW w:w="1409" w:type="dxa"/>
            <w:vMerge w:val="continue"/>
            <w:tcBorders>
              <w:top w:val="single" w:color="000000" w:sz="4" w:space="0"/>
              <w:left w:val="single" w:color="000000" w:sz="4" w:space="0"/>
              <w:bottom w:val="single" w:color="000000" w:sz="4" w:space="0"/>
              <w:right w:val="single" w:color="000000" w:sz="4" w:space="0"/>
              <w:tl2br w:val="nil"/>
              <w:tr2bl w:val="nil"/>
            </w:tcBorders>
            <w:noWrap/>
            <w:vAlign w:val="center"/>
          </w:tcPr>
          <w:p w14:paraId="4D99D55A"/>
        </w:tc>
        <w:tc>
          <w:tcPr>
            <w:tcW w:w="4152"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60A3A8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获得省级以上政府部门奖励或嘉奖的。</w:t>
            </w:r>
          </w:p>
        </w:tc>
        <w:tc>
          <w:tcPr>
            <w:tcW w:w="86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8122B7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7.8.1</w:t>
            </w:r>
          </w:p>
        </w:tc>
        <w:tc>
          <w:tcPr>
            <w:tcW w:w="5470" w:type="dxa"/>
            <w:tcBorders>
              <w:top w:val="single" w:color="000000" w:sz="4" w:space="0"/>
              <w:left w:val="single" w:color="000000" w:sz="4" w:space="0"/>
              <w:bottom w:val="single" w:color="000000" w:sz="4" w:space="0"/>
              <w:right w:val="single" w:color="000000" w:sz="4" w:space="0"/>
              <w:tl2br w:val="nil"/>
              <w:tr2bl w:val="nil"/>
            </w:tcBorders>
            <w:noWrap/>
          </w:tcPr>
          <w:p w14:paraId="73B2CA6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获得省级以上政府部门奖励或嘉奖的</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CE3F9C9">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w:t>
            </w:r>
          </w:p>
        </w:tc>
        <w:tc>
          <w:tcPr>
            <w:tcW w:w="810"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72F17BAC">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c>
          <w:tcPr>
            <w:tcW w:w="783"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50F1C3B6">
            <w:pPr>
              <w:keepNext w:val="0"/>
              <w:keepLines w:val="0"/>
              <w:pageBreakBefore w:val="0"/>
              <w:widowControl/>
              <w:kinsoku/>
              <w:wordWrap/>
              <w:overflowPunct/>
              <w:topLinePunct w:val="0"/>
              <w:autoSpaceDE/>
              <w:autoSpaceDN/>
              <w:bidi w:val="0"/>
              <w:adjustRightInd w:val="0"/>
              <w:snapToGrid w:val="0"/>
              <w:spacing w:line="320" w:lineRule="exact"/>
              <w:textAlignment w:val="center"/>
              <w:rPr>
                <w:rFonts w:hint="eastAsia" w:ascii="方正仿宋_GBK" w:eastAsia="方正仿宋_GBK" w:cs="方正仿宋_GBK"/>
                <w:i w:val="0"/>
                <w:iCs w:val="0"/>
                <w:color w:val="auto"/>
                <w:kern w:val="0"/>
                <w:sz w:val="21"/>
                <w:szCs w:val="21"/>
                <w:u w:val="none"/>
              </w:rPr>
            </w:pPr>
          </w:p>
        </w:tc>
      </w:tr>
    </w:tbl>
    <w:p w14:paraId="530C40DF">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p>
    <w:p w14:paraId="4C4C193D">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p>
    <w:p w14:paraId="76CC4A1C">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p>
    <w:p w14:paraId="3A4C05B9">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320" w:lineRule="exact"/>
        <w:jc w:val="both"/>
        <w:textAlignment w:val="center"/>
        <w:rPr>
          <w:rFonts w:hint="eastAsia" w:ascii="方正仿宋_GBK" w:eastAsia="方正仿宋_GBK" w:cs="方正仿宋_GBK"/>
          <w:i w:val="0"/>
          <w:iCs w:val="0"/>
          <w:color w:val="auto"/>
          <w:kern w:val="0"/>
          <w:sz w:val="21"/>
          <w:szCs w:val="21"/>
          <w:u w:val="none"/>
          <w:lang w:val="en-US" w:eastAsia="zh-CN"/>
        </w:rPr>
      </w:pPr>
    </w:p>
    <w:p w14:paraId="2E80A312">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90" w:lineRule="exact"/>
        <w:jc w:val="both"/>
        <w:textAlignment w:val="center"/>
        <w:rPr>
          <w:rFonts w:hint="eastAsia" w:ascii="方正仿宋_GBK" w:eastAsia="方正仿宋_GBK" w:cs="方正仿宋_GBK"/>
          <w:i w:val="0"/>
          <w:iCs w:val="0"/>
          <w:color w:val="auto"/>
          <w:kern w:val="0"/>
          <w:sz w:val="32"/>
          <w:szCs w:val="32"/>
          <w:u w:val="none"/>
          <w:lang w:val="en-US" w:eastAsia="zh-CN"/>
        </w:rPr>
      </w:pPr>
      <w:r>
        <w:rPr>
          <w:rFonts w:hint="eastAsia" w:ascii="方正仿宋_GBK" w:eastAsia="方正仿宋_GBK" w:cs="方正仿宋_GBK"/>
          <w:i w:val="0"/>
          <w:iCs w:val="0"/>
          <w:color w:val="auto"/>
          <w:kern w:val="0"/>
          <w:sz w:val="32"/>
          <w:szCs w:val="32"/>
          <w:u w:val="none"/>
          <w:lang w:val="en-US" w:eastAsia="zh-CN"/>
        </w:rPr>
        <w:br w:type="page"/>
      </w:r>
      <w:r>
        <w:rPr>
          <w:rFonts w:hint="eastAsia" w:ascii="方正仿宋_GBK" w:eastAsia="方正仿宋_GBK" w:cs="方正仿宋_GBK"/>
          <w:i w:val="0"/>
          <w:iCs w:val="0"/>
          <w:color w:val="auto"/>
          <w:kern w:val="0"/>
          <w:sz w:val="32"/>
          <w:szCs w:val="32"/>
          <w:u w:val="none"/>
          <w:lang w:val="en-US" w:eastAsia="zh-CN"/>
        </w:rPr>
        <w:t>分值情况说明：</w:t>
      </w:r>
    </w:p>
    <w:tbl>
      <w:tblPr>
        <w:tblStyle w:val="3"/>
        <w:tblW w:w="14101"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51"/>
        <w:gridCol w:w="2012"/>
        <w:gridCol w:w="1475"/>
        <w:gridCol w:w="7663"/>
      </w:tblGrid>
      <w:tr w14:paraId="00AF7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14101" w:type="dxa"/>
            <w:gridSpan w:val="4"/>
            <w:tcBorders>
              <w:top w:val="single" w:color="auto" w:sz="4" w:space="0"/>
              <w:left w:val="single" w:color="auto" w:sz="4" w:space="0"/>
              <w:bottom w:val="single" w:color="auto" w:sz="4" w:space="0"/>
              <w:right w:val="single" w:color="auto" w:sz="4" w:space="0"/>
            </w:tcBorders>
            <w:noWrap/>
            <w:vAlign w:val="center"/>
          </w:tcPr>
          <w:p w14:paraId="710F4C6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分值情况</w:t>
            </w:r>
          </w:p>
        </w:tc>
      </w:tr>
      <w:tr w14:paraId="5AD6D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951" w:type="dxa"/>
            <w:tcBorders>
              <w:top w:val="single" w:color="auto" w:sz="4" w:space="0"/>
              <w:left w:val="single" w:color="auto" w:sz="4" w:space="0"/>
              <w:bottom w:val="single" w:color="auto" w:sz="4" w:space="0"/>
              <w:right w:val="single" w:color="auto" w:sz="4" w:space="0"/>
            </w:tcBorders>
            <w:noWrap/>
            <w:vAlign w:val="center"/>
          </w:tcPr>
          <w:p w14:paraId="7C76B25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章节</w:t>
            </w:r>
          </w:p>
        </w:tc>
        <w:tc>
          <w:tcPr>
            <w:tcW w:w="2012" w:type="dxa"/>
            <w:tcBorders>
              <w:top w:val="single" w:color="auto" w:sz="4" w:space="0"/>
              <w:left w:val="single" w:color="auto" w:sz="4" w:space="0"/>
              <w:bottom w:val="single" w:color="auto" w:sz="4" w:space="0"/>
              <w:right w:val="single" w:color="auto" w:sz="4" w:space="0"/>
            </w:tcBorders>
            <w:noWrap/>
            <w:vAlign w:val="center"/>
          </w:tcPr>
          <w:p w14:paraId="49281AD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条款数目</w:t>
            </w:r>
          </w:p>
        </w:tc>
        <w:tc>
          <w:tcPr>
            <w:tcW w:w="1475" w:type="dxa"/>
            <w:tcBorders>
              <w:top w:val="single" w:color="auto" w:sz="4" w:space="0"/>
              <w:left w:val="single" w:color="auto" w:sz="4" w:space="0"/>
              <w:bottom w:val="single" w:color="auto" w:sz="4" w:space="0"/>
              <w:right w:val="single" w:color="auto" w:sz="4" w:space="0"/>
            </w:tcBorders>
            <w:noWrap/>
            <w:vAlign w:val="center"/>
          </w:tcPr>
          <w:p w14:paraId="3518C593">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章节总分</w:t>
            </w:r>
          </w:p>
        </w:tc>
        <w:tc>
          <w:tcPr>
            <w:tcW w:w="7663" w:type="dxa"/>
            <w:tcBorders>
              <w:top w:val="single" w:color="auto" w:sz="4" w:space="0"/>
              <w:left w:val="single" w:color="auto" w:sz="4" w:space="0"/>
              <w:bottom w:val="single" w:color="auto" w:sz="4" w:space="0"/>
              <w:right w:val="single" w:color="auto" w:sz="4" w:space="0"/>
            </w:tcBorders>
            <w:noWrap/>
            <w:vAlign w:val="center"/>
          </w:tcPr>
          <w:p w14:paraId="43335698">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备注</w:t>
            </w:r>
          </w:p>
        </w:tc>
      </w:tr>
      <w:tr w14:paraId="72A42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951" w:type="dxa"/>
            <w:tcBorders>
              <w:top w:val="single" w:color="auto" w:sz="4" w:space="0"/>
              <w:left w:val="single" w:color="auto" w:sz="4" w:space="0"/>
              <w:bottom w:val="single" w:color="auto" w:sz="4" w:space="0"/>
              <w:right w:val="single" w:color="auto" w:sz="4" w:space="0"/>
            </w:tcBorders>
            <w:noWrap/>
            <w:vAlign w:val="center"/>
          </w:tcPr>
          <w:p w14:paraId="5D560E3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一质量安全关键岗位要求</w:t>
            </w:r>
          </w:p>
        </w:tc>
        <w:tc>
          <w:tcPr>
            <w:tcW w:w="2012" w:type="dxa"/>
            <w:tcBorders>
              <w:top w:val="single" w:color="auto" w:sz="4" w:space="0"/>
              <w:left w:val="single" w:color="auto" w:sz="4" w:space="0"/>
              <w:bottom w:val="single" w:color="auto" w:sz="4" w:space="0"/>
              <w:right w:val="single" w:color="auto" w:sz="4" w:space="0"/>
            </w:tcBorders>
            <w:noWrap/>
            <w:vAlign w:val="center"/>
          </w:tcPr>
          <w:p w14:paraId="5845512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13</w:t>
            </w:r>
          </w:p>
        </w:tc>
        <w:tc>
          <w:tcPr>
            <w:tcW w:w="1475" w:type="dxa"/>
            <w:tcBorders>
              <w:top w:val="single" w:color="auto" w:sz="4" w:space="0"/>
              <w:left w:val="single" w:color="auto" w:sz="4" w:space="0"/>
              <w:bottom w:val="single" w:color="auto" w:sz="4" w:space="0"/>
              <w:right w:val="single" w:color="auto" w:sz="4" w:space="0"/>
            </w:tcBorders>
            <w:noWrap/>
            <w:vAlign w:val="center"/>
          </w:tcPr>
          <w:p w14:paraId="7E517F3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48</w:t>
            </w:r>
          </w:p>
        </w:tc>
        <w:tc>
          <w:tcPr>
            <w:tcW w:w="7663" w:type="dxa"/>
            <w:tcBorders>
              <w:top w:val="single" w:color="auto" w:sz="4" w:space="0"/>
              <w:left w:val="single" w:color="auto" w:sz="4" w:space="0"/>
              <w:bottom w:val="single" w:color="auto" w:sz="4" w:space="0"/>
              <w:right w:val="single" w:color="auto" w:sz="4" w:space="0"/>
            </w:tcBorders>
            <w:noWrap/>
            <w:vAlign w:val="center"/>
          </w:tcPr>
          <w:p w14:paraId="2FE20983">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77C25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951" w:type="dxa"/>
            <w:tcBorders>
              <w:top w:val="single" w:color="auto" w:sz="4" w:space="0"/>
              <w:left w:val="single" w:color="auto" w:sz="4" w:space="0"/>
              <w:bottom w:val="single" w:color="auto" w:sz="4" w:space="0"/>
              <w:right w:val="single" w:color="auto" w:sz="4" w:space="0"/>
            </w:tcBorders>
            <w:noWrap/>
            <w:vAlign w:val="center"/>
          </w:tcPr>
          <w:p w14:paraId="6AAA581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二质量管控</w:t>
            </w:r>
          </w:p>
        </w:tc>
        <w:tc>
          <w:tcPr>
            <w:tcW w:w="2012" w:type="dxa"/>
            <w:tcBorders>
              <w:top w:val="single" w:color="auto" w:sz="4" w:space="0"/>
              <w:left w:val="single" w:color="auto" w:sz="4" w:space="0"/>
              <w:bottom w:val="single" w:color="auto" w:sz="4" w:space="0"/>
              <w:right w:val="single" w:color="auto" w:sz="4" w:space="0"/>
            </w:tcBorders>
            <w:noWrap/>
            <w:vAlign w:val="center"/>
          </w:tcPr>
          <w:p w14:paraId="10BBBFC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11</w:t>
            </w:r>
          </w:p>
        </w:tc>
        <w:tc>
          <w:tcPr>
            <w:tcW w:w="1475" w:type="dxa"/>
            <w:tcBorders>
              <w:top w:val="single" w:color="auto" w:sz="4" w:space="0"/>
              <w:left w:val="single" w:color="auto" w:sz="4" w:space="0"/>
              <w:bottom w:val="single" w:color="auto" w:sz="4" w:space="0"/>
              <w:right w:val="single" w:color="auto" w:sz="4" w:space="0"/>
            </w:tcBorders>
            <w:noWrap/>
            <w:vAlign w:val="center"/>
          </w:tcPr>
          <w:p w14:paraId="5DCF1ACA">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22+15</w:t>
            </w:r>
          </w:p>
        </w:tc>
        <w:tc>
          <w:tcPr>
            <w:tcW w:w="7663" w:type="dxa"/>
            <w:tcBorders>
              <w:top w:val="single" w:color="auto" w:sz="4" w:space="0"/>
              <w:left w:val="single" w:color="auto" w:sz="4" w:space="0"/>
              <w:bottom w:val="single" w:color="auto" w:sz="4" w:space="0"/>
              <w:right w:val="single" w:color="auto" w:sz="4" w:space="0"/>
            </w:tcBorders>
            <w:noWrap/>
            <w:vAlign w:val="center"/>
          </w:tcPr>
          <w:p w14:paraId="4B4DA7C2">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15分委托生产，适用情形得分</w:t>
            </w:r>
          </w:p>
        </w:tc>
      </w:tr>
      <w:tr w14:paraId="03F01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951" w:type="dxa"/>
            <w:tcBorders>
              <w:top w:val="single" w:color="auto" w:sz="4" w:space="0"/>
              <w:left w:val="single" w:color="auto" w:sz="4" w:space="0"/>
              <w:bottom w:val="single" w:color="auto" w:sz="4" w:space="0"/>
              <w:right w:val="single" w:color="auto" w:sz="4" w:space="0"/>
            </w:tcBorders>
            <w:noWrap/>
            <w:vAlign w:val="center"/>
          </w:tcPr>
          <w:p w14:paraId="405A5390">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三报告</w:t>
            </w:r>
          </w:p>
        </w:tc>
        <w:tc>
          <w:tcPr>
            <w:tcW w:w="2012" w:type="dxa"/>
            <w:tcBorders>
              <w:top w:val="single" w:color="auto" w:sz="4" w:space="0"/>
              <w:left w:val="single" w:color="auto" w:sz="4" w:space="0"/>
              <w:bottom w:val="single" w:color="auto" w:sz="4" w:space="0"/>
              <w:right w:val="single" w:color="auto" w:sz="4" w:space="0"/>
            </w:tcBorders>
            <w:noWrap/>
            <w:vAlign w:val="center"/>
          </w:tcPr>
          <w:p w14:paraId="6DB0D29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w:t>
            </w:r>
          </w:p>
        </w:tc>
        <w:tc>
          <w:tcPr>
            <w:tcW w:w="1475" w:type="dxa"/>
            <w:tcBorders>
              <w:top w:val="single" w:color="auto" w:sz="4" w:space="0"/>
              <w:left w:val="single" w:color="auto" w:sz="4" w:space="0"/>
              <w:bottom w:val="single" w:color="auto" w:sz="4" w:space="0"/>
              <w:right w:val="single" w:color="auto" w:sz="4" w:space="0"/>
            </w:tcBorders>
            <w:noWrap/>
            <w:vAlign w:val="center"/>
          </w:tcPr>
          <w:p w14:paraId="3F1D547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9</w:t>
            </w:r>
          </w:p>
        </w:tc>
        <w:tc>
          <w:tcPr>
            <w:tcW w:w="7663" w:type="dxa"/>
            <w:tcBorders>
              <w:top w:val="single" w:color="auto" w:sz="4" w:space="0"/>
              <w:left w:val="single" w:color="auto" w:sz="4" w:space="0"/>
              <w:bottom w:val="single" w:color="auto" w:sz="4" w:space="0"/>
              <w:right w:val="single" w:color="auto" w:sz="4" w:space="0"/>
            </w:tcBorders>
            <w:noWrap/>
            <w:vAlign w:val="center"/>
          </w:tcPr>
          <w:p w14:paraId="19AD00FD">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6C662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951" w:type="dxa"/>
            <w:tcBorders>
              <w:top w:val="single" w:color="auto" w:sz="4" w:space="0"/>
              <w:left w:val="single" w:color="auto" w:sz="4" w:space="0"/>
              <w:bottom w:val="single" w:color="auto" w:sz="4" w:space="0"/>
              <w:right w:val="single" w:color="auto" w:sz="4" w:space="0"/>
            </w:tcBorders>
            <w:noWrap/>
            <w:vAlign w:val="center"/>
          </w:tcPr>
          <w:p w14:paraId="091A5C3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四履职机制</w:t>
            </w:r>
          </w:p>
        </w:tc>
        <w:tc>
          <w:tcPr>
            <w:tcW w:w="2012" w:type="dxa"/>
            <w:tcBorders>
              <w:top w:val="single" w:color="auto" w:sz="4" w:space="0"/>
              <w:left w:val="single" w:color="auto" w:sz="4" w:space="0"/>
              <w:bottom w:val="single" w:color="auto" w:sz="4" w:space="0"/>
              <w:right w:val="single" w:color="auto" w:sz="4" w:space="0"/>
            </w:tcBorders>
            <w:noWrap/>
            <w:vAlign w:val="center"/>
          </w:tcPr>
          <w:p w14:paraId="3B7CF1F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3</w:t>
            </w:r>
          </w:p>
        </w:tc>
        <w:tc>
          <w:tcPr>
            <w:tcW w:w="1475" w:type="dxa"/>
            <w:tcBorders>
              <w:top w:val="single" w:color="auto" w:sz="4" w:space="0"/>
              <w:left w:val="single" w:color="auto" w:sz="4" w:space="0"/>
              <w:bottom w:val="single" w:color="auto" w:sz="4" w:space="0"/>
              <w:right w:val="single" w:color="auto" w:sz="4" w:space="0"/>
            </w:tcBorders>
            <w:noWrap/>
            <w:vAlign w:val="center"/>
          </w:tcPr>
          <w:p w14:paraId="17E91A6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11</w:t>
            </w:r>
          </w:p>
        </w:tc>
        <w:tc>
          <w:tcPr>
            <w:tcW w:w="7663" w:type="dxa"/>
            <w:tcBorders>
              <w:top w:val="single" w:color="auto" w:sz="4" w:space="0"/>
              <w:left w:val="single" w:color="auto" w:sz="4" w:space="0"/>
              <w:bottom w:val="single" w:color="auto" w:sz="4" w:space="0"/>
              <w:right w:val="single" w:color="auto" w:sz="4" w:space="0"/>
            </w:tcBorders>
            <w:noWrap/>
            <w:vAlign w:val="center"/>
          </w:tcPr>
          <w:p w14:paraId="7F90F44F">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4AB31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951" w:type="dxa"/>
            <w:tcBorders>
              <w:top w:val="single" w:color="auto" w:sz="4" w:space="0"/>
              <w:left w:val="single" w:color="auto" w:sz="4" w:space="0"/>
              <w:bottom w:val="single" w:color="auto" w:sz="4" w:space="0"/>
              <w:right w:val="single" w:color="auto" w:sz="4" w:space="0"/>
            </w:tcBorders>
            <w:noWrap/>
            <w:vAlign w:val="center"/>
          </w:tcPr>
          <w:p w14:paraId="5D9561D4">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五上市后研究</w:t>
            </w:r>
          </w:p>
        </w:tc>
        <w:tc>
          <w:tcPr>
            <w:tcW w:w="2012" w:type="dxa"/>
            <w:tcBorders>
              <w:top w:val="single" w:color="auto" w:sz="4" w:space="0"/>
              <w:left w:val="single" w:color="auto" w:sz="4" w:space="0"/>
              <w:bottom w:val="single" w:color="auto" w:sz="4" w:space="0"/>
              <w:right w:val="single" w:color="auto" w:sz="4" w:space="0"/>
            </w:tcBorders>
            <w:noWrap/>
            <w:vAlign w:val="center"/>
          </w:tcPr>
          <w:p w14:paraId="0FC7326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w:t>
            </w:r>
          </w:p>
        </w:tc>
        <w:tc>
          <w:tcPr>
            <w:tcW w:w="1475" w:type="dxa"/>
            <w:tcBorders>
              <w:top w:val="single" w:color="auto" w:sz="4" w:space="0"/>
              <w:left w:val="single" w:color="auto" w:sz="4" w:space="0"/>
              <w:bottom w:val="single" w:color="auto" w:sz="4" w:space="0"/>
              <w:right w:val="single" w:color="auto" w:sz="4" w:space="0"/>
            </w:tcBorders>
            <w:noWrap/>
            <w:vAlign w:val="center"/>
          </w:tcPr>
          <w:p w14:paraId="64C104C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7663" w:type="dxa"/>
            <w:tcBorders>
              <w:top w:val="single" w:color="auto" w:sz="4" w:space="0"/>
              <w:left w:val="single" w:color="auto" w:sz="4" w:space="0"/>
              <w:bottom w:val="single" w:color="auto" w:sz="4" w:space="0"/>
              <w:right w:val="single" w:color="auto" w:sz="4" w:space="0"/>
            </w:tcBorders>
            <w:noWrap/>
            <w:vAlign w:val="center"/>
          </w:tcPr>
          <w:p w14:paraId="7BAA4F06">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05947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951" w:type="dxa"/>
            <w:tcBorders>
              <w:top w:val="single" w:color="auto" w:sz="4" w:space="0"/>
              <w:left w:val="single" w:color="auto" w:sz="4" w:space="0"/>
              <w:bottom w:val="single" w:color="auto" w:sz="4" w:space="0"/>
              <w:right w:val="single" w:color="auto" w:sz="4" w:space="0"/>
            </w:tcBorders>
            <w:noWrap/>
            <w:vAlign w:val="center"/>
          </w:tcPr>
          <w:p w14:paraId="36EF4F7B">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六不良事件</w:t>
            </w:r>
          </w:p>
        </w:tc>
        <w:tc>
          <w:tcPr>
            <w:tcW w:w="2012" w:type="dxa"/>
            <w:tcBorders>
              <w:top w:val="single" w:color="auto" w:sz="4" w:space="0"/>
              <w:left w:val="single" w:color="auto" w:sz="4" w:space="0"/>
              <w:bottom w:val="single" w:color="auto" w:sz="4" w:space="0"/>
              <w:right w:val="single" w:color="auto" w:sz="4" w:space="0"/>
            </w:tcBorders>
            <w:noWrap/>
            <w:vAlign w:val="center"/>
          </w:tcPr>
          <w:p w14:paraId="05E89F59">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w:t>
            </w:r>
          </w:p>
        </w:tc>
        <w:tc>
          <w:tcPr>
            <w:tcW w:w="1475" w:type="dxa"/>
            <w:tcBorders>
              <w:top w:val="single" w:color="auto" w:sz="4" w:space="0"/>
              <w:left w:val="single" w:color="auto" w:sz="4" w:space="0"/>
              <w:bottom w:val="single" w:color="auto" w:sz="4" w:space="0"/>
              <w:right w:val="single" w:color="auto" w:sz="4" w:space="0"/>
            </w:tcBorders>
            <w:noWrap/>
            <w:vAlign w:val="center"/>
          </w:tcPr>
          <w:p w14:paraId="308E23FC">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5</w:t>
            </w:r>
          </w:p>
        </w:tc>
        <w:tc>
          <w:tcPr>
            <w:tcW w:w="7663" w:type="dxa"/>
            <w:tcBorders>
              <w:top w:val="single" w:color="auto" w:sz="4" w:space="0"/>
              <w:left w:val="single" w:color="auto" w:sz="4" w:space="0"/>
              <w:bottom w:val="single" w:color="auto" w:sz="4" w:space="0"/>
              <w:right w:val="single" w:color="auto" w:sz="4" w:space="0"/>
            </w:tcBorders>
            <w:noWrap/>
            <w:vAlign w:val="center"/>
          </w:tcPr>
          <w:p w14:paraId="1BC41F1D">
            <w:pPr>
              <w:keepNext w:val="0"/>
              <w:keepLines w:val="0"/>
              <w:pageBreakBefore w:val="0"/>
              <w:widowControl/>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p>
        </w:tc>
      </w:tr>
      <w:tr w14:paraId="70886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2951" w:type="dxa"/>
            <w:tcBorders>
              <w:top w:val="single" w:color="auto" w:sz="4" w:space="0"/>
              <w:left w:val="single" w:color="auto" w:sz="4" w:space="0"/>
              <w:bottom w:val="single" w:color="auto" w:sz="4" w:space="0"/>
              <w:right w:val="single" w:color="auto" w:sz="4" w:space="0"/>
            </w:tcBorders>
            <w:noWrap/>
            <w:vAlign w:val="center"/>
          </w:tcPr>
          <w:p w14:paraId="06489E6D">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七加分项</w:t>
            </w:r>
          </w:p>
        </w:tc>
        <w:tc>
          <w:tcPr>
            <w:tcW w:w="2012" w:type="dxa"/>
            <w:tcBorders>
              <w:top w:val="single" w:color="auto" w:sz="4" w:space="0"/>
              <w:left w:val="single" w:color="auto" w:sz="4" w:space="0"/>
              <w:bottom w:val="single" w:color="auto" w:sz="4" w:space="0"/>
              <w:right w:val="single" w:color="auto" w:sz="4" w:space="0"/>
            </w:tcBorders>
            <w:noWrap/>
            <w:vAlign w:val="center"/>
          </w:tcPr>
          <w:p w14:paraId="29E8681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8</w:t>
            </w:r>
          </w:p>
        </w:tc>
        <w:tc>
          <w:tcPr>
            <w:tcW w:w="1475" w:type="dxa"/>
            <w:tcBorders>
              <w:top w:val="single" w:color="auto" w:sz="4" w:space="0"/>
              <w:left w:val="single" w:color="auto" w:sz="4" w:space="0"/>
              <w:bottom w:val="single" w:color="auto" w:sz="4" w:space="0"/>
              <w:right w:val="single" w:color="auto" w:sz="4" w:space="0"/>
            </w:tcBorders>
            <w:noWrap/>
            <w:vAlign w:val="center"/>
          </w:tcPr>
          <w:p w14:paraId="43600F4E">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12</w:t>
            </w:r>
          </w:p>
        </w:tc>
        <w:tc>
          <w:tcPr>
            <w:tcW w:w="7663" w:type="dxa"/>
            <w:tcBorders>
              <w:top w:val="single" w:color="auto" w:sz="4" w:space="0"/>
              <w:left w:val="single" w:color="auto" w:sz="4" w:space="0"/>
              <w:bottom w:val="single" w:color="auto" w:sz="4" w:space="0"/>
              <w:right w:val="single" w:color="auto" w:sz="4" w:space="0"/>
            </w:tcBorders>
            <w:noWrap/>
            <w:vAlign w:val="center"/>
          </w:tcPr>
          <w:p w14:paraId="7787A06E">
            <w:pPr>
              <w:keepNext w:val="0"/>
              <w:keepLines w:val="0"/>
              <w:pageBreakBefore w:val="0"/>
              <w:widowControl/>
              <w:kinsoku/>
              <w:wordWrap/>
              <w:overflowPunct/>
              <w:topLinePunct w:val="0"/>
              <w:autoSpaceDE/>
              <w:autoSpaceDN/>
              <w:bidi w:val="0"/>
              <w:adjustRightInd w:val="0"/>
              <w:snapToGrid w:val="0"/>
              <w:spacing w:line="320" w:lineRule="exact"/>
              <w:textAlignment w:val="center"/>
              <w:rPr>
                <w:rFonts w:hint="eastAsia" w:ascii="方正仿宋_GBK" w:eastAsia="方正仿宋_GBK" w:cs="方正仿宋_GBK"/>
                <w:i w:val="0"/>
                <w:iCs w:val="0"/>
                <w:color w:val="auto"/>
                <w:kern w:val="0"/>
                <w:sz w:val="21"/>
                <w:szCs w:val="21"/>
                <w:u w:val="none"/>
              </w:rPr>
            </w:pPr>
          </w:p>
        </w:tc>
      </w:tr>
      <w:tr w14:paraId="5C42B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2951" w:type="dxa"/>
            <w:noWrap/>
            <w:vAlign w:val="center"/>
          </w:tcPr>
          <w:p w14:paraId="48A7E417">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总分</w:t>
            </w:r>
          </w:p>
        </w:tc>
        <w:tc>
          <w:tcPr>
            <w:tcW w:w="11150" w:type="dxa"/>
            <w:gridSpan w:val="3"/>
            <w:noWrap/>
            <w:vAlign w:val="center"/>
          </w:tcPr>
          <w:p w14:paraId="115302A1">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100分（公共）+15分（委托生产）+12分（加分）</w:t>
            </w:r>
          </w:p>
        </w:tc>
      </w:tr>
      <w:tr w14:paraId="47A0D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4101" w:type="dxa"/>
            <w:gridSpan w:val="4"/>
            <w:tcBorders>
              <w:top w:val="single" w:color="auto" w:sz="4" w:space="0"/>
              <w:left w:val="single" w:color="auto" w:sz="4" w:space="0"/>
              <w:bottom w:val="single" w:color="auto" w:sz="4" w:space="0"/>
              <w:right w:val="single" w:color="auto" w:sz="4" w:space="0"/>
            </w:tcBorders>
            <w:noWrap/>
            <w:vAlign w:val="center"/>
          </w:tcPr>
          <w:p w14:paraId="224CBB26">
            <w:pPr>
              <w:keepNext w:val="0"/>
              <w:keepLines w:val="0"/>
              <w:pageBreakBefore w:val="0"/>
              <w:widowControl/>
              <w:suppressLineNumbers w:val="0"/>
              <w:kinsoku/>
              <w:wordWrap/>
              <w:overflowPunct/>
              <w:topLinePunct w:val="0"/>
              <w:autoSpaceDE/>
              <w:autoSpaceDN/>
              <w:bidi w:val="0"/>
              <w:adjustRightInd w:val="0"/>
              <w:snapToGrid w:val="0"/>
              <w:spacing w:line="320" w:lineRule="exact"/>
              <w:jc w:val="both"/>
              <w:textAlignment w:val="center"/>
              <w:rPr>
                <w:rFonts w:hint="eastAsia" w:ascii="方正仿宋_GBK" w:eastAsia="方正仿宋_GBK" w:cs="方正仿宋_GBK"/>
                <w:i w:val="0"/>
                <w:iCs w:val="0"/>
                <w:color w:val="auto"/>
                <w:kern w:val="0"/>
                <w:sz w:val="21"/>
                <w:szCs w:val="21"/>
                <w:u w:val="none"/>
              </w:rPr>
            </w:pPr>
            <w:r>
              <w:rPr>
                <w:rFonts w:hint="eastAsia" w:ascii="方正仿宋_GBK" w:eastAsia="方正仿宋_GBK" w:cs="方正仿宋_GBK"/>
                <w:i w:val="0"/>
                <w:iCs w:val="0"/>
                <w:color w:val="auto"/>
                <w:kern w:val="0"/>
                <w:sz w:val="21"/>
                <w:szCs w:val="21"/>
                <w:u w:val="none"/>
                <w:lang w:val="en-US" w:eastAsia="zh-CN"/>
              </w:rPr>
              <w:t>评分标准：</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一般企业=公共得分+加分项得分;</w:t>
            </w:r>
            <w:r>
              <w:rPr>
                <w:rFonts w:hint="eastAsia" w:ascii="方正仿宋_GBK" w:eastAsia="方正仿宋_GBK" w:cs="方正仿宋_GBK"/>
                <w:i w:val="0"/>
                <w:iCs w:val="0"/>
                <w:color w:val="auto"/>
                <w:kern w:val="0"/>
                <w:sz w:val="21"/>
                <w:szCs w:val="21"/>
                <w:u w:val="none"/>
                <w:lang w:val="en-US" w:eastAsia="zh-CN"/>
              </w:rPr>
              <w:br w:type="textWrapping"/>
            </w:r>
            <w:r>
              <w:rPr>
                <w:rFonts w:hint="eastAsia" w:ascii="方正仿宋_GBK" w:eastAsia="方正仿宋_GBK" w:cs="方正仿宋_GBK"/>
                <w:i w:val="0"/>
                <w:iCs w:val="0"/>
                <w:color w:val="auto"/>
                <w:kern w:val="0"/>
                <w:sz w:val="21"/>
                <w:szCs w:val="21"/>
                <w:u w:val="none"/>
                <w:lang w:val="en-US" w:eastAsia="zh-CN"/>
              </w:rPr>
              <w:t>有委托生产情形的企业=（公共得分+委托生产得分）*100/115+加分项得分。</w:t>
            </w:r>
          </w:p>
        </w:tc>
      </w:tr>
    </w:tbl>
    <w:p w14:paraId="6EE55737">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Lucida Sans">
    <w:panose1 w:val="020B0602030504020204"/>
    <w:charset w:val="00"/>
    <w:family w:val="auto"/>
    <w:pitch w:val="default"/>
    <w:sig w:usb0="00000003" w:usb1="00000000" w:usb2="00000000" w:usb3="00000000" w:csb0="20000001" w:csb1="00000000"/>
  </w:font>
  <w:font w:name="方正黑体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Wingdings 2">
    <w:panose1 w:val="05020102010507070707"/>
    <w:charset w:val="00"/>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1659F6"/>
    <w:multiLevelType w:val="singleLevel"/>
    <w:tmpl w:val="D41659F6"/>
    <w:lvl w:ilvl="0" w:tentative="0">
      <w:start w:val="1"/>
      <w:numFmt w:val="chineseCounting"/>
      <w:suff w:val="nothing"/>
      <w:lvlText w:val="%1、"/>
      <w:lvlJc w:val="left"/>
      <w:pPr>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447998"/>
    <w:rsid w:val="234479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character" w:customStyle="1" w:styleId="5">
    <w:name w:val="style101"/>
    <w:basedOn w:val="4"/>
    <w:qFormat/>
    <w:uiPriority w:val="0"/>
    <w:rPr>
      <w:rFonts w:ascii="Times New Roman" w:hAnsi="Times New Roman" w:cs="Times New Roman"/>
      <w:color w:val="000000"/>
      <w:sz w:val="18"/>
      <w:szCs w:val="18"/>
    </w:rPr>
  </w:style>
  <w:style w:type="character" w:customStyle="1" w:styleId="6">
    <w:name w:val="font51"/>
    <w:basedOn w:val="4"/>
    <w:qFormat/>
    <w:uiPriority w:val="0"/>
    <w:rPr>
      <w:rFonts w:ascii="宋体" w:eastAsia="宋体" w:cs="宋体"/>
      <w:color w:val="FF0000"/>
      <w:sz w:val="16"/>
      <w:szCs w:val="16"/>
      <w:u w:val="none"/>
    </w:rPr>
  </w:style>
  <w:style w:type="character" w:customStyle="1" w:styleId="7">
    <w:name w:val="font41"/>
    <w:basedOn w:val="4"/>
    <w:qFormat/>
    <w:uiPriority w:val="0"/>
    <w:rPr>
      <w:rFonts w:ascii="宋体" w:eastAsia="宋体" w:cs="宋体"/>
      <w:color w:val="000000"/>
      <w:sz w:val="16"/>
      <w:szCs w:val="16"/>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2025-03-28T07:23:00Z</dcterms:created>
  <dc:creator>相裕连</dc:creator>
  <cp:lastModifiedBy>相裕连</cp:lastModifiedBy>
  <dcterms:modified xsi:type="dcterms:W3CDTF">2025-03-28T07:23:54Z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39E631F8A8F54EE896707350A707B086_11</vt:lpwstr>
  </property>
  <property fmtid="{D5CDD505-2E9C-101B-9397-08002B2CF9AE}" pid="4" name="KSOTemplateDocerSaveRecord">
    <vt:lpwstr>eyJoZGlkIjoiZDZhOTk3NzA4NzU0NTkyNzc4NWRhZDAzZWFiNzgyZmIiLCJ1c2VySWQiOiI3Mzg0MjM2MTEifQ==</vt:lpwstr>
  </property>
</Properties>
</file>