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overflowPunct/>
        <w:topLinePunct w:val="0"/>
        <w:autoSpaceDE/>
        <w:autoSpaceDN/>
        <w:bidi w:val="0"/>
        <w:adjustRightInd w:val="0"/>
        <w:snapToGrid w:val="0"/>
        <w:spacing w:line="590" w:lineRule="exact"/>
        <w:jc w:val="both"/>
        <w:textAlignment w:val="auto"/>
        <w:rPr>
          <w:rFonts w:hint="eastAsia" w:ascii="方正小标宋_GBK" w:hAnsi="方正小标宋_GBK" w:eastAsia="方正小标宋_GBK" w:cs="方正小标宋_GBK"/>
          <w:b w:val="0"/>
          <w:bCs w:val="0"/>
          <w:color w:val="auto"/>
          <w:sz w:val="44"/>
          <w:szCs w:val="44"/>
          <w:u w:val="none"/>
          <w:lang w:eastAsia="zh-CN"/>
        </w:rPr>
      </w:pPr>
    </w:p>
    <w:p>
      <w:pPr>
        <w:keepNext w:val="0"/>
        <w:keepLines w:val="0"/>
        <w:pageBreakBefore w:val="0"/>
        <w:kinsoku/>
        <w:overflowPunct/>
        <w:topLinePunct w:val="0"/>
        <w:autoSpaceDE/>
        <w:autoSpaceDN/>
        <w:bidi w:val="0"/>
        <w:adjustRightInd w:val="0"/>
        <w:snapToGrid w:val="0"/>
        <w:spacing w:line="590" w:lineRule="exact"/>
        <w:jc w:val="center"/>
        <w:textAlignment w:val="auto"/>
        <w:rPr>
          <w:rFonts w:hint="eastAsia" w:ascii="方正小标宋_GBK" w:hAnsi="方正小标宋_GBK" w:eastAsia="方正小标宋_GBK" w:cs="方正小标宋_GBK"/>
          <w:b w:val="0"/>
          <w:bCs w:val="0"/>
          <w:color w:val="auto"/>
          <w:sz w:val="44"/>
          <w:szCs w:val="44"/>
          <w:u w:val="none"/>
        </w:rPr>
      </w:pPr>
      <w:r>
        <w:rPr>
          <w:rFonts w:hint="eastAsia" w:ascii="方正小标宋_GBK" w:hAnsi="方正小标宋_GBK" w:eastAsia="方正小标宋_GBK" w:cs="方正小标宋_GBK"/>
          <w:b w:val="0"/>
          <w:bCs w:val="0"/>
          <w:color w:val="auto"/>
          <w:sz w:val="44"/>
          <w:szCs w:val="44"/>
          <w:u w:val="none"/>
          <w:lang w:eastAsia="zh-CN"/>
        </w:rPr>
        <w:t>江苏省</w:t>
      </w:r>
      <w:r>
        <w:rPr>
          <w:rFonts w:hint="eastAsia" w:ascii="方正小标宋_GBK" w:hAnsi="方正小标宋_GBK" w:eastAsia="方正小标宋_GBK" w:cs="方正小标宋_GBK"/>
          <w:b w:val="0"/>
          <w:bCs w:val="0"/>
          <w:color w:val="auto"/>
          <w:sz w:val="44"/>
          <w:szCs w:val="44"/>
          <w:u w:val="none"/>
        </w:rPr>
        <w:t>药品</w:t>
      </w:r>
      <w:r>
        <w:rPr>
          <w:rFonts w:hint="eastAsia" w:ascii="方正小标宋_GBK" w:hAnsi="方正小标宋_GBK" w:eastAsia="方正小标宋_GBK" w:cs="方正小标宋_GBK"/>
          <w:b w:val="0"/>
          <w:bCs w:val="0"/>
          <w:color w:val="auto"/>
          <w:sz w:val="44"/>
          <w:szCs w:val="44"/>
          <w:u w:val="none"/>
          <w:lang w:eastAsia="zh-CN"/>
        </w:rPr>
        <w:t>生产质量管理规范</w:t>
      </w:r>
      <w:r>
        <w:rPr>
          <w:rFonts w:hint="eastAsia" w:ascii="方正小标宋_GBK" w:hAnsi="方正小标宋_GBK" w:eastAsia="方正小标宋_GBK" w:cs="方正小标宋_GBK"/>
          <w:b w:val="0"/>
          <w:bCs w:val="0"/>
          <w:color w:val="auto"/>
          <w:sz w:val="44"/>
          <w:szCs w:val="44"/>
          <w:u w:val="none"/>
        </w:rPr>
        <w:t>符合性检查</w:t>
      </w:r>
    </w:p>
    <w:p>
      <w:pPr>
        <w:keepNext w:val="0"/>
        <w:keepLines w:val="0"/>
        <w:pageBreakBefore w:val="0"/>
        <w:kinsoku/>
        <w:overflowPunct/>
        <w:topLinePunct w:val="0"/>
        <w:autoSpaceDE/>
        <w:autoSpaceDN/>
        <w:bidi w:val="0"/>
        <w:adjustRightInd w:val="0"/>
        <w:snapToGrid w:val="0"/>
        <w:spacing w:line="590" w:lineRule="exact"/>
        <w:jc w:val="center"/>
        <w:textAlignment w:val="auto"/>
        <w:rPr>
          <w:rFonts w:hint="eastAsia" w:ascii="方正小标宋_GBK" w:hAnsi="方正小标宋_GBK" w:eastAsia="方正小标宋_GBK" w:cs="方正小标宋_GBK"/>
          <w:b w:val="0"/>
          <w:bCs w:val="0"/>
          <w:color w:val="auto"/>
          <w:sz w:val="44"/>
          <w:szCs w:val="44"/>
          <w:u w:val="none"/>
          <w:lang w:eastAsia="zh-CN"/>
        </w:rPr>
      </w:pPr>
      <w:r>
        <w:rPr>
          <w:rFonts w:hint="eastAsia" w:ascii="方正小标宋_GBK" w:hAnsi="方正小标宋_GBK" w:eastAsia="方正小标宋_GBK" w:cs="方正小标宋_GBK"/>
          <w:b w:val="0"/>
          <w:bCs w:val="0"/>
          <w:color w:val="auto"/>
          <w:sz w:val="44"/>
          <w:szCs w:val="44"/>
          <w:u w:val="none"/>
          <w:lang w:eastAsia="zh-CN"/>
        </w:rPr>
        <w:t>管理程序（试行）（征求意见稿）</w:t>
      </w:r>
    </w:p>
    <w:p>
      <w:pPr>
        <w:keepNext w:val="0"/>
        <w:keepLines w:val="0"/>
        <w:pageBreakBefore w:val="0"/>
        <w:kinsoku/>
        <w:overflowPunct/>
        <w:topLinePunct w:val="0"/>
        <w:autoSpaceDE/>
        <w:autoSpaceDN/>
        <w:bidi w:val="0"/>
        <w:adjustRightInd w:val="0"/>
        <w:snapToGrid w:val="0"/>
        <w:spacing w:line="590" w:lineRule="exact"/>
        <w:jc w:val="both"/>
        <w:textAlignment w:val="auto"/>
        <w:rPr>
          <w:rFonts w:hint="eastAsia" w:ascii="仿宋" w:hAnsi="仿宋" w:eastAsia="仿宋"/>
          <w:b/>
          <w:bCs/>
          <w:color w:val="auto"/>
          <w:sz w:val="30"/>
          <w:szCs w:val="30"/>
          <w:u w:val="none"/>
        </w:rPr>
      </w:pPr>
    </w:p>
    <w:p>
      <w:pPr>
        <w:keepNext w:val="0"/>
        <w:keepLines w:val="0"/>
        <w:pageBreakBefore w:val="0"/>
        <w:kinsoku/>
        <w:overflowPunct/>
        <w:topLinePunct w:val="0"/>
        <w:autoSpaceDE/>
        <w:autoSpaceDN/>
        <w:bidi w:val="0"/>
        <w:adjustRightInd w:val="0"/>
        <w:snapToGrid w:val="0"/>
        <w:spacing w:line="590" w:lineRule="exact"/>
        <w:jc w:val="center"/>
        <w:textAlignment w:val="auto"/>
        <w:rPr>
          <w:rFonts w:hint="eastAsia" w:ascii="黑体" w:hAnsi="黑体" w:eastAsia="黑体" w:cs="黑体"/>
          <w:b w:val="0"/>
          <w:bCs w:val="0"/>
          <w:color w:val="auto"/>
          <w:sz w:val="32"/>
          <w:szCs w:val="32"/>
          <w:u w:val="none"/>
          <w:lang w:val="en-US" w:eastAsia="zh-CN"/>
        </w:rPr>
      </w:pPr>
      <w:r>
        <w:rPr>
          <w:rFonts w:hint="eastAsia" w:ascii="黑体" w:hAnsi="黑体" w:eastAsia="黑体" w:cs="黑体"/>
          <w:b w:val="0"/>
          <w:bCs w:val="0"/>
          <w:color w:val="auto"/>
          <w:sz w:val="32"/>
          <w:szCs w:val="32"/>
          <w:u w:val="none"/>
          <w:lang w:val="en-US" w:eastAsia="zh-CN"/>
        </w:rPr>
        <w:t>第一章 总则</w:t>
      </w:r>
    </w:p>
    <w:p>
      <w:pPr>
        <w:pStyle w:val="3"/>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val="0"/>
        <w:snapToGrid w:val="0"/>
        <w:spacing w:before="0" w:beforeAutospacing="0" w:after="0" w:afterAutospacing="0" w:line="590" w:lineRule="exact"/>
        <w:ind w:right="0" w:rightChars="0" w:firstLine="640" w:firstLineChars="200"/>
        <w:jc w:val="both"/>
        <w:textAlignment w:val="auto"/>
        <w:outlineLvl w:val="1"/>
        <w:rPr>
          <w:rFonts w:hint="eastAsia" w:ascii="仿宋_GB2312" w:hAnsi="仿宋_GB2312" w:eastAsia="仿宋_GB2312" w:cs="仿宋_GB2312"/>
          <w:b w:val="0"/>
          <w:bCs w:val="0"/>
          <w:color w:val="auto"/>
          <w:sz w:val="32"/>
          <w:szCs w:val="32"/>
          <w:u w:val="none"/>
          <w:lang w:eastAsia="zh-CN" w:bidi="ar-SA"/>
        </w:rPr>
      </w:pPr>
      <w:r>
        <w:rPr>
          <w:rFonts w:hint="eastAsia" w:ascii="仿宋_GB2312" w:hAnsi="仿宋_GB2312" w:eastAsia="仿宋_GB2312" w:cs="仿宋_GB2312"/>
          <w:b/>
          <w:bCs/>
          <w:color w:val="auto"/>
          <w:sz w:val="32"/>
          <w:szCs w:val="32"/>
          <w:u w:val="none"/>
          <w:lang w:val="en-US" w:eastAsia="zh-CN" w:bidi="ar-SA"/>
        </w:rPr>
        <w:t>第一条</w:t>
      </w:r>
      <w:r>
        <w:rPr>
          <w:rFonts w:hint="eastAsia" w:ascii="仿宋_GB2312" w:hAnsi="仿宋_GB2312" w:eastAsia="仿宋_GB2312" w:cs="仿宋_GB2312"/>
          <w:b w:val="0"/>
          <w:bCs w:val="0"/>
          <w:color w:val="auto"/>
          <w:sz w:val="32"/>
          <w:szCs w:val="32"/>
          <w:u w:val="none"/>
          <w:lang w:val="en-US" w:eastAsia="zh-CN" w:bidi="ar-SA"/>
        </w:rPr>
        <w:t xml:space="preserve"> </w:t>
      </w:r>
      <w:r>
        <w:rPr>
          <w:rFonts w:hint="eastAsia" w:ascii="仿宋_GB2312" w:hAnsi="仿宋_GB2312" w:eastAsia="仿宋_GB2312" w:cs="仿宋_GB2312"/>
          <w:b/>
          <w:bCs/>
          <w:color w:val="auto"/>
          <w:sz w:val="32"/>
          <w:szCs w:val="32"/>
          <w:u w:val="none"/>
          <w:lang w:val="en-US" w:eastAsia="zh-CN" w:bidi="ar-SA"/>
        </w:rPr>
        <w:t>（法律依据）</w:t>
      </w:r>
      <w:r>
        <w:rPr>
          <w:rFonts w:hint="eastAsia" w:ascii="仿宋_GB2312" w:hAnsi="仿宋_GB2312" w:eastAsia="仿宋_GB2312" w:cs="仿宋_GB2312"/>
          <w:b w:val="0"/>
          <w:bCs w:val="0"/>
          <w:color w:val="auto"/>
          <w:sz w:val="32"/>
          <w:szCs w:val="32"/>
          <w:u w:val="none"/>
          <w:lang w:val="en-US" w:eastAsia="zh-CN" w:bidi="ar-SA"/>
        </w:rPr>
        <w:t>为规范我省</w:t>
      </w:r>
      <w:r>
        <w:rPr>
          <w:rFonts w:hint="eastAsia" w:ascii="仿宋_GB2312" w:hAnsi="仿宋_GB2312" w:eastAsia="仿宋_GB2312" w:cs="仿宋_GB2312"/>
          <w:b w:val="0"/>
          <w:bCs w:val="0"/>
          <w:color w:val="auto"/>
          <w:sz w:val="32"/>
          <w:szCs w:val="32"/>
          <w:u w:val="none"/>
          <w:lang w:bidi="ar-SA"/>
        </w:rPr>
        <w:t>药品生产质量管理规范符合性检查</w:t>
      </w:r>
      <w:r>
        <w:rPr>
          <w:rFonts w:hint="eastAsia" w:ascii="仿宋_GB2312" w:hAnsi="仿宋_GB2312" w:eastAsia="仿宋_GB2312" w:cs="仿宋_GB2312"/>
          <w:b w:val="0"/>
          <w:bCs w:val="0"/>
          <w:color w:val="auto"/>
          <w:sz w:val="32"/>
          <w:szCs w:val="32"/>
          <w:u w:val="none"/>
          <w:lang w:eastAsia="zh-CN" w:bidi="ar-SA"/>
        </w:rPr>
        <w:t>相关活动，</w:t>
      </w:r>
      <w:r>
        <w:rPr>
          <w:rFonts w:hint="eastAsia" w:ascii="仿宋_GB2312" w:hAnsi="仿宋_GB2312" w:eastAsia="仿宋_GB2312" w:cs="仿宋_GB2312"/>
          <w:b w:val="0"/>
          <w:bCs w:val="0"/>
          <w:color w:val="auto"/>
          <w:sz w:val="32"/>
          <w:szCs w:val="32"/>
          <w:u w:val="none"/>
          <w:lang w:bidi="ar-SA"/>
        </w:rPr>
        <w:t>依据《</w:t>
      </w:r>
      <w:r>
        <w:rPr>
          <w:rFonts w:hint="eastAsia" w:ascii="仿宋_GB2312" w:hAnsi="仿宋_GB2312" w:eastAsia="仿宋_GB2312" w:cs="仿宋_GB2312"/>
          <w:b w:val="0"/>
          <w:bCs w:val="0"/>
          <w:color w:val="auto"/>
          <w:sz w:val="32"/>
          <w:szCs w:val="32"/>
          <w:u w:val="none"/>
          <w:lang w:eastAsia="zh-CN" w:bidi="ar-SA"/>
        </w:rPr>
        <w:t>中华人民共和国</w:t>
      </w:r>
      <w:r>
        <w:rPr>
          <w:rFonts w:hint="eastAsia" w:ascii="仿宋_GB2312" w:hAnsi="仿宋_GB2312" w:eastAsia="仿宋_GB2312" w:cs="仿宋_GB2312"/>
          <w:b w:val="0"/>
          <w:bCs w:val="0"/>
          <w:color w:val="auto"/>
          <w:sz w:val="32"/>
          <w:szCs w:val="32"/>
          <w:u w:val="none"/>
          <w:lang w:bidi="ar-SA"/>
        </w:rPr>
        <w:t>药品管理法》《药品注册管理办法》《药品生产监督管理办法》《药品上市后变更管理办法（试行）》《药品检查管理办法（试行）》</w:t>
      </w:r>
      <w:r>
        <w:rPr>
          <w:rFonts w:hint="eastAsia" w:ascii="仿宋_GB2312" w:hAnsi="仿宋_GB2312" w:eastAsia="仿宋_GB2312" w:cs="仿宋_GB2312"/>
          <w:b w:val="0"/>
          <w:bCs w:val="0"/>
          <w:color w:val="auto"/>
          <w:sz w:val="32"/>
          <w:szCs w:val="32"/>
          <w:u w:val="none"/>
          <w:lang w:eastAsia="zh-CN" w:bidi="ar-SA"/>
        </w:rPr>
        <w:t>《</w:t>
      </w:r>
      <w:r>
        <w:rPr>
          <w:rFonts w:hint="eastAsia" w:ascii="仿宋_GB2312" w:hAnsi="仿宋_GB2312" w:eastAsia="仿宋_GB2312" w:cs="仿宋_GB2312"/>
          <w:b w:val="0"/>
          <w:bCs w:val="0"/>
          <w:color w:val="auto"/>
          <w:sz w:val="32"/>
          <w:szCs w:val="32"/>
          <w:u w:val="none"/>
          <w:lang w:bidi="ar-SA"/>
        </w:rPr>
        <w:t>国家药监局关于实施新修订&lt;药品生产监督管理办法&gt;有关事项的公告(2020年第47号)</w:t>
      </w:r>
      <w:r>
        <w:rPr>
          <w:rFonts w:hint="eastAsia" w:ascii="仿宋_GB2312" w:hAnsi="仿宋_GB2312" w:eastAsia="仿宋_GB2312" w:cs="仿宋_GB2312"/>
          <w:b w:val="0"/>
          <w:bCs w:val="0"/>
          <w:color w:val="auto"/>
          <w:sz w:val="32"/>
          <w:szCs w:val="32"/>
          <w:u w:val="none"/>
          <w:lang w:eastAsia="zh-CN" w:bidi="ar-SA"/>
        </w:rPr>
        <w:t>》</w:t>
      </w:r>
      <w:r>
        <w:rPr>
          <w:rFonts w:hint="eastAsia" w:ascii="仿宋_GB2312" w:hAnsi="仿宋_GB2312" w:eastAsia="仿宋_GB2312" w:cs="仿宋_GB2312"/>
          <w:b w:val="0"/>
          <w:bCs w:val="0"/>
          <w:color w:val="auto"/>
          <w:sz w:val="32"/>
          <w:szCs w:val="32"/>
          <w:u w:val="none"/>
          <w:lang w:bidi="ar-SA"/>
        </w:rPr>
        <w:t>等</w:t>
      </w:r>
      <w:r>
        <w:rPr>
          <w:rFonts w:hint="eastAsia" w:ascii="仿宋_GB2312" w:hAnsi="仿宋_GB2312" w:eastAsia="仿宋_GB2312" w:cs="仿宋_GB2312"/>
          <w:b w:val="0"/>
          <w:bCs w:val="0"/>
          <w:color w:val="auto"/>
          <w:sz w:val="32"/>
          <w:szCs w:val="32"/>
          <w:u w:val="none"/>
          <w:lang w:eastAsia="zh-CN" w:bidi="ar-SA"/>
        </w:rPr>
        <w:t>有关</w:t>
      </w:r>
      <w:r>
        <w:rPr>
          <w:rFonts w:hint="eastAsia" w:ascii="仿宋_GB2312" w:hAnsi="仿宋_GB2312" w:eastAsia="仿宋_GB2312" w:cs="仿宋_GB2312"/>
          <w:b w:val="0"/>
          <w:bCs w:val="0"/>
          <w:color w:val="auto"/>
          <w:sz w:val="32"/>
          <w:szCs w:val="32"/>
          <w:u w:val="none"/>
          <w:lang w:bidi="ar-SA"/>
        </w:rPr>
        <w:t>规定，</w:t>
      </w:r>
      <w:r>
        <w:rPr>
          <w:rFonts w:hint="eastAsia" w:ascii="仿宋_GB2312" w:hAnsi="仿宋_GB2312" w:eastAsia="仿宋_GB2312" w:cs="仿宋_GB2312"/>
          <w:b w:val="0"/>
          <w:bCs w:val="0"/>
          <w:color w:val="auto"/>
          <w:sz w:val="32"/>
          <w:szCs w:val="32"/>
          <w:u w:val="none"/>
          <w:lang w:eastAsia="zh-CN" w:bidi="ar-SA"/>
        </w:rPr>
        <w:t>结合本省实际，制定本程序。</w:t>
      </w:r>
    </w:p>
    <w:p>
      <w:pPr>
        <w:pStyle w:val="4"/>
        <w:rPr>
          <w:rFonts w:hint="eastAsia" w:ascii="仿宋_GB2312" w:hAnsi="仿宋_GB2312" w:eastAsia="仿宋_GB2312" w:cs="仿宋_GB2312"/>
          <w:b w:val="0"/>
          <w:bCs w:val="0"/>
          <w:color w:val="auto"/>
          <w:sz w:val="32"/>
          <w:szCs w:val="32"/>
          <w:u w:val="none"/>
          <w:lang w:val="en-US" w:eastAsia="zh-CN"/>
        </w:rPr>
      </w:pPr>
      <w:r>
        <w:rPr>
          <w:rFonts w:hint="eastAsia" w:ascii="仿宋_GB2312" w:hAnsi="仿宋_GB2312" w:eastAsia="仿宋_GB2312" w:cs="仿宋_GB2312"/>
          <w:b/>
          <w:bCs/>
          <w:color w:val="auto"/>
          <w:sz w:val="32"/>
          <w:szCs w:val="32"/>
          <w:u w:val="none"/>
          <w:lang w:val="en-US" w:eastAsia="zh-CN"/>
        </w:rPr>
        <w:t>第二条</w:t>
      </w:r>
      <w:r>
        <w:rPr>
          <w:rFonts w:hint="eastAsia" w:ascii="仿宋_GB2312" w:hAnsi="仿宋_GB2312" w:eastAsia="仿宋_GB2312" w:cs="仿宋_GB2312"/>
          <w:b w:val="0"/>
          <w:bCs w:val="0"/>
          <w:color w:val="auto"/>
          <w:sz w:val="32"/>
          <w:szCs w:val="32"/>
          <w:u w:val="none"/>
          <w:lang w:val="en-US" w:eastAsia="zh-CN"/>
        </w:rPr>
        <w:t xml:space="preserve"> </w:t>
      </w:r>
      <w:r>
        <w:rPr>
          <w:rFonts w:hint="eastAsia" w:ascii="仿宋_GB2312" w:hAnsi="仿宋_GB2312" w:eastAsia="仿宋_GB2312" w:cs="仿宋_GB2312"/>
          <w:b/>
          <w:bCs/>
          <w:color w:val="auto"/>
          <w:sz w:val="32"/>
          <w:szCs w:val="32"/>
          <w:u w:val="none"/>
          <w:lang w:val="en-US" w:eastAsia="zh-CN"/>
        </w:rPr>
        <w:t>（相关定义）</w:t>
      </w:r>
      <w:r>
        <w:rPr>
          <w:rFonts w:hint="eastAsia" w:ascii="仿宋_GB2312" w:hAnsi="仿宋_GB2312" w:eastAsia="仿宋_GB2312" w:cs="仿宋_GB2312"/>
          <w:b w:val="0"/>
          <w:bCs w:val="0"/>
          <w:color w:val="auto"/>
          <w:sz w:val="32"/>
          <w:szCs w:val="32"/>
          <w:u w:val="none"/>
          <w:lang w:val="en-US" w:eastAsia="zh-CN"/>
        </w:rPr>
        <w:t>本程序所称的药品生产质量管理规范</w:t>
      </w:r>
      <w:r>
        <w:rPr>
          <w:rFonts w:hint="eastAsia" w:ascii="仿宋_GB2312" w:hAnsi="仿宋_GB2312" w:eastAsia="仿宋_GB2312" w:cs="仿宋_GB2312"/>
          <w:b w:val="0"/>
          <w:bCs w:val="0"/>
          <w:color w:val="auto"/>
          <w:sz w:val="32"/>
          <w:szCs w:val="32"/>
          <w:u w:val="none"/>
          <w:lang w:val="zh-TW" w:eastAsia="zh-CN"/>
        </w:rPr>
        <w:t>符合性检查（以下简称</w:t>
      </w:r>
      <w:r>
        <w:rPr>
          <w:rFonts w:hint="eastAsia" w:ascii="仿宋_GB2312" w:hAnsi="仿宋_GB2312" w:eastAsia="仿宋_GB2312" w:cs="仿宋_GB2312"/>
          <w:b w:val="0"/>
          <w:bCs w:val="0"/>
          <w:color w:val="auto"/>
          <w:sz w:val="32"/>
          <w:szCs w:val="32"/>
          <w:u w:val="none"/>
          <w:lang w:val="en-US" w:eastAsia="zh-CN"/>
        </w:rPr>
        <w:t>GMP符合性检查</w:t>
      </w:r>
      <w:r>
        <w:rPr>
          <w:rFonts w:hint="eastAsia" w:ascii="仿宋_GB2312" w:hAnsi="仿宋_GB2312" w:eastAsia="仿宋_GB2312" w:cs="仿宋_GB2312"/>
          <w:b w:val="0"/>
          <w:bCs w:val="0"/>
          <w:color w:val="auto"/>
          <w:sz w:val="32"/>
          <w:szCs w:val="32"/>
          <w:u w:val="none"/>
          <w:lang w:val="zh-TW" w:eastAsia="zh-CN"/>
        </w:rPr>
        <w:t>）指监管部门</w:t>
      </w:r>
      <w:r>
        <w:rPr>
          <w:rFonts w:hint="eastAsia" w:ascii="仿宋_GB2312" w:hAnsi="仿宋_GB2312" w:eastAsia="仿宋_GB2312" w:cs="仿宋_GB2312"/>
          <w:b w:val="0"/>
          <w:bCs w:val="0"/>
          <w:color w:val="auto"/>
          <w:sz w:val="32"/>
          <w:szCs w:val="32"/>
          <w:u w:val="none"/>
          <w:lang w:val="en-US" w:eastAsia="zh-TW"/>
        </w:rPr>
        <w:t>根据</w:t>
      </w:r>
      <w:r>
        <w:rPr>
          <w:rFonts w:hint="eastAsia" w:ascii="仿宋_GB2312" w:hAnsi="仿宋_GB2312" w:eastAsia="仿宋_GB2312" w:cs="仿宋_GB2312"/>
          <w:b w:val="0"/>
          <w:bCs w:val="0"/>
          <w:color w:val="auto"/>
          <w:sz w:val="32"/>
          <w:szCs w:val="32"/>
          <w:u w:val="none"/>
          <w:lang w:val="en-US" w:eastAsia="zh-CN"/>
        </w:rPr>
        <w:t>药品监管法律法规及有关规定</w:t>
      </w:r>
      <w:r>
        <w:rPr>
          <w:rFonts w:hint="eastAsia" w:ascii="仿宋_GB2312" w:hAnsi="仿宋_GB2312" w:eastAsia="仿宋_GB2312" w:cs="仿宋_GB2312"/>
          <w:b w:val="0"/>
          <w:bCs w:val="0"/>
          <w:color w:val="auto"/>
          <w:sz w:val="32"/>
          <w:szCs w:val="32"/>
          <w:u w:val="none"/>
          <w:lang w:val="en-US" w:eastAsia="zh-TW"/>
        </w:rPr>
        <w:t>，对药品上市许可</w:t>
      </w:r>
      <w:r>
        <w:rPr>
          <w:rFonts w:hint="eastAsia" w:ascii="仿宋_GB2312" w:hAnsi="仿宋_GB2312" w:eastAsia="仿宋_GB2312" w:cs="仿宋_GB2312"/>
          <w:b w:val="0"/>
          <w:bCs w:val="0"/>
          <w:color w:val="auto"/>
          <w:sz w:val="32"/>
          <w:szCs w:val="32"/>
          <w:u w:val="none"/>
          <w:lang w:val="en-US" w:eastAsia="zh-CN"/>
        </w:rPr>
        <w:t>申请人（以下简称申请人）、药品上市许可</w:t>
      </w:r>
      <w:r>
        <w:rPr>
          <w:rFonts w:hint="eastAsia" w:ascii="仿宋_GB2312" w:hAnsi="仿宋_GB2312" w:eastAsia="仿宋_GB2312" w:cs="仿宋_GB2312"/>
          <w:b w:val="0"/>
          <w:bCs w:val="0"/>
          <w:color w:val="auto"/>
          <w:sz w:val="32"/>
          <w:szCs w:val="32"/>
          <w:u w:val="none"/>
          <w:lang w:val="en-US" w:eastAsia="zh-TW"/>
        </w:rPr>
        <w:t>持有人</w:t>
      </w:r>
      <w:r>
        <w:rPr>
          <w:rFonts w:hint="eastAsia" w:ascii="仿宋_GB2312" w:hAnsi="仿宋_GB2312" w:eastAsia="仿宋_GB2312" w:cs="仿宋_GB2312"/>
          <w:b w:val="0"/>
          <w:bCs w:val="0"/>
          <w:color w:val="auto"/>
          <w:sz w:val="32"/>
          <w:szCs w:val="32"/>
          <w:u w:val="none"/>
          <w:lang w:val="en-US" w:eastAsia="zh-CN"/>
        </w:rPr>
        <w:t>（以下简称持有人）、药品生产企业（包括依法自行生产原料药、制剂、中药饮片、中药配方颗粒等或受托生产制剂等，以下简称生产企业）开展的，以GMP为依据或标准开展的检查，可以是全体系的检查，也可以是结合企业历次被检查情况开展的有重点的系统检查，包括</w:t>
      </w:r>
      <w:r>
        <w:rPr>
          <w:rFonts w:hint="eastAsia" w:ascii="仿宋_GB2312" w:hAnsi="仿宋_GB2312" w:eastAsia="仿宋_GB2312" w:cs="仿宋_GB2312"/>
          <w:b w:val="0"/>
          <w:bCs w:val="0"/>
          <w:color w:val="auto"/>
          <w:sz w:val="32"/>
          <w:szCs w:val="32"/>
          <w:u w:val="none"/>
          <w:lang w:val="zh-TW" w:eastAsia="zh-CN"/>
        </w:rPr>
        <w:t>依申请的</w:t>
      </w:r>
      <w:r>
        <w:rPr>
          <w:rFonts w:hint="eastAsia" w:ascii="仿宋_GB2312" w:hAnsi="仿宋_GB2312" w:eastAsia="仿宋_GB2312" w:cs="仿宋_GB2312"/>
          <w:b w:val="0"/>
          <w:bCs w:val="0"/>
          <w:color w:val="auto"/>
          <w:sz w:val="32"/>
          <w:szCs w:val="32"/>
          <w:u w:val="none"/>
          <w:lang w:val="en-US" w:eastAsia="zh-CN"/>
        </w:rPr>
        <w:t>GMP符合性检查和</w:t>
      </w:r>
      <w:r>
        <w:rPr>
          <w:rFonts w:hint="eastAsia" w:ascii="仿宋_GB2312" w:hAnsi="仿宋_GB2312" w:eastAsia="仿宋_GB2312" w:cs="仿宋_GB2312"/>
          <w:b w:val="0"/>
          <w:bCs w:val="0"/>
          <w:color w:val="auto"/>
          <w:sz w:val="32"/>
          <w:szCs w:val="32"/>
          <w:u w:val="none"/>
          <w:lang w:val="zh-TW" w:eastAsia="zh-CN"/>
        </w:rPr>
        <w:t>依职权的</w:t>
      </w:r>
      <w:r>
        <w:rPr>
          <w:rFonts w:hint="eastAsia" w:ascii="仿宋_GB2312" w:hAnsi="仿宋_GB2312" w:eastAsia="仿宋_GB2312" w:cs="仿宋_GB2312"/>
          <w:b w:val="0"/>
          <w:bCs w:val="0"/>
          <w:color w:val="auto"/>
          <w:sz w:val="32"/>
          <w:szCs w:val="32"/>
          <w:u w:val="none"/>
          <w:lang w:val="en-US" w:eastAsia="zh-CN"/>
        </w:rPr>
        <w:t>GMP符合性检查。</w:t>
      </w:r>
    </w:p>
    <w:p>
      <w:pPr>
        <w:pStyle w:val="8"/>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590" w:lineRule="exact"/>
        <w:ind w:left="0" w:right="0" w:firstLine="640" w:firstLineChars="200"/>
        <w:jc w:val="both"/>
        <w:textAlignment w:val="auto"/>
        <w:rPr>
          <w:rFonts w:hint="eastAsia" w:ascii="仿宋_GB2312" w:hAnsi="仿宋_GB2312" w:eastAsia="仿宋_GB2312" w:cs="仿宋_GB2312"/>
          <w:b w:val="0"/>
          <w:bCs w:val="0"/>
          <w:color w:val="auto"/>
          <w:sz w:val="32"/>
          <w:szCs w:val="32"/>
          <w:u w:val="none"/>
          <w:lang w:val="en-US" w:eastAsia="zh-CN"/>
        </w:rPr>
      </w:pPr>
      <w:r>
        <w:rPr>
          <w:rFonts w:hint="eastAsia" w:ascii="仿宋_GB2312" w:hAnsi="仿宋_GB2312" w:eastAsia="仿宋_GB2312" w:cs="仿宋_GB2312"/>
          <w:b w:val="0"/>
          <w:bCs w:val="0"/>
          <w:color w:val="auto"/>
          <w:sz w:val="32"/>
          <w:szCs w:val="32"/>
          <w:u w:val="none"/>
          <w:lang w:val="zh-TW" w:eastAsia="zh-CN"/>
        </w:rPr>
        <w:t>依申请的</w:t>
      </w:r>
      <w:r>
        <w:rPr>
          <w:rFonts w:hint="eastAsia" w:ascii="仿宋_GB2312" w:hAnsi="仿宋_GB2312" w:eastAsia="仿宋_GB2312" w:cs="仿宋_GB2312"/>
          <w:b w:val="0"/>
          <w:bCs w:val="0"/>
          <w:color w:val="auto"/>
          <w:sz w:val="32"/>
          <w:szCs w:val="32"/>
          <w:u w:val="none"/>
          <w:lang w:val="en-US" w:eastAsia="zh-CN"/>
        </w:rPr>
        <w:t>GMP符合性检查还可分为上市前的GMP符合性检查和上市后的GMP符合性检查</w:t>
      </w:r>
      <w:r>
        <w:rPr>
          <w:rFonts w:hint="eastAsia" w:ascii="仿宋_GB2312" w:hAnsi="仿宋_GB2312" w:eastAsia="仿宋_GB2312" w:cs="仿宋_GB2312"/>
          <w:b w:val="0"/>
          <w:bCs w:val="0"/>
          <w:color w:val="auto"/>
          <w:sz w:val="32"/>
          <w:szCs w:val="32"/>
          <w:u w:val="none"/>
          <w:lang w:val="en-US" w:eastAsia="zh-TW"/>
        </w:rPr>
        <w:t>。</w:t>
      </w:r>
      <w:r>
        <w:rPr>
          <w:rFonts w:hint="eastAsia" w:ascii="仿宋_GB2312" w:hAnsi="仿宋_GB2312" w:eastAsia="仿宋_GB2312" w:cs="仿宋_GB2312"/>
          <w:b w:val="0"/>
          <w:bCs w:val="0"/>
          <w:color w:val="auto"/>
          <w:sz w:val="32"/>
          <w:szCs w:val="32"/>
          <w:u w:val="none"/>
          <w:lang w:val="en-US" w:eastAsia="zh-CN"/>
        </w:rPr>
        <w:t> </w:t>
      </w:r>
    </w:p>
    <w:p>
      <w:pPr>
        <w:keepNext w:val="0"/>
        <w:keepLines w:val="0"/>
        <w:pageBreakBefore w:val="0"/>
        <w:kinsoku/>
        <w:overflowPunct/>
        <w:topLinePunct w:val="0"/>
        <w:autoSpaceDE/>
        <w:autoSpaceDN/>
        <w:bidi w:val="0"/>
        <w:adjustRightInd w:val="0"/>
        <w:snapToGrid w:val="0"/>
        <w:spacing w:line="590" w:lineRule="exact"/>
        <w:ind w:firstLine="640" w:firstLineChars="200"/>
        <w:jc w:val="both"/>
        <w:textAlignment w:val="auto"/>
        <w:rPr>
          <w:rFonts w:hint="default" w:ascii="仿宋_GB2312" w:hAnsi="宋体" w:eastAsia="仿宋_GB2312" w:cs="宋体"/>
          <w:color w:val="auto"/>
          <w:sz w:val="32"/>
          <w:szCs w:val="32"/>
          <w:u w:val="none"/>
          <w:lang w:val="en-US" w:eastAsia="zh-CN"/>
        </w:rPr>
      </w:pPr>
      <w:r>
        <w:rPr>
          <w:rFonts w:hint="eastAsia" w:ascii="仿宋_GB2312" w:hAnsi="仿宋_GB2312" w:eastAsia="仿宋_GB2312" w:cs="仿宋_GB2312"/>
          <w:b/>
          <w:bCs/>
          <w:color w:val="auto"/>
          <w:sz w:val="32"/>
          <w:szCs w:val="32"/>
          <w:u w:val="none"/>
          <w:lang w:val="en-US" w:eastAsia="zh-CN"/>
        </w:rPr>
        <w:t>第三条 （适用范围）</w:t>
      </w:r>
      <w:r>
        <w:rPr>
          <w:rFonts w:hint="eastAsia" w:ascii="仿宋_GB2312" w:hAnsi="仿宋_GB2312" w:eastAsia="仿宋_GB2312" w:cs="仿宋_GB2312"/>
          <w:b w:val="0"/>
          <w:bCs w:val="0"/>
          <w:color w:val="auto"/>
          <w:sz w:val="32"/>
          <w:szCs w:val="32"/>
          <w:u w:val="none"/>
          <w:lang w:val="en-US" w:eastAsia="zh-CN"/>
        </w:rPr>
        <w:t>本程序适用于省内GMP符合性检查</w:t>
      </w:r>
      <w:r>
        <w:rPr>
          <w:rFonts w:hint="eastAsia" w:ascii="仿宋_GB2312" w:hAnsi="仿宋_GB2312" w:eastAsia="仿宋_GB2312" w:cs="仿宋_GB2312"/>
          <w:b w:val="0"/>
          <w:bCs w:val="0"/>
          <w:color w:val="auto"/>
          <w:sz w:val="32"/>
          <w:szCs w:val="32"/>
          <w:u w:val="none"/>
          <w:lang w:eastAsia="zh-CN"/>
        </w:rPr>
        <w:t>的申请</w:t>
      </w:r>
      <w:r>
        <w:rPr>
          <w:rFonts w:hint="eastAsia" w:ascii="仿宋_GB2312" w:hAnsi="仿宋_GB2312" w:eastAsia="仿宋_GB2312" w:cs="仿宋_GB2312"/>
          <w:b w:val="0"/>
          <w:bCs w:val="0"/>
          <w:color w:val="auto"/>
          <w:sz w:val="32"/>
          <w:szCs w:val="32"/>
          <w:u w:val="none"/>
          <w:lang w:val="en-US" w:eastAsia="zh-CN"/>
        </w:rPr>
        <w:t>/发起</w:t>
      </w:r>
      <w:r>
        <w:rPr>
          <w:rFonts w:hint="eastAsia" w:ascii="仿宋_GB2312" w:hAnsi="仿宋_GB2312" w:eastAsia="仿宋_GB2312" w:cs="仿宋_GB2312"/>
          <w:b w:val="0"/>
          <w:bCs w:val="0"/>
          <w:color w:val="auto"/>
          <w:sz w:val="32"/>
          <w:szCs w:val="32"/>
          <w:u w:val="none"/>
          <w:lang w:eastAsia="zh-CN"/>
        </w:rPr>
        <w:t>、检查和检查结果处理</w:t>
      </w:r>
      <w:r>
        <w:rPr>
          <w:rFonts w:hint="eastAsia" w:ascii="仿宋_GB2312" w:hAnsi="仿宋_GB2312" w:eastAsia="仿宋_GB2312" w:cs="仿宋_GB2312"/>
          <w:b w:val="0"/>
          <w:bCs w:val="0"/>
          <w:color w:val="auto"/>
          <w:sz w:val="32"/>
          <w:szCs w:val="32"/>
          <w:u w:val="none"/>
          <w:lang w:val="en-US" w:eastAsia="zh-CN"/>
        </w:rPr>
        <w:t>。</w:t>
      </w:r>
    </w:p>
    <w:p>
      <w:pPr>
        <w:keepNext w:val="0"/>
        <w:keepLines w:val="0"/>
        <w:pageBreakBefore w:val="0"/>
        <w:kinsoku/>
        <w:overflowPunct/>
        <w:topLinePunct w:val="0"/>
        <w:autoSpaceDE/>
        <w:autoSpaceDN/>
        <w:bidi w:val="0"/>
        <w:adjustRightInd w:val="0"/>
        <w:snapToGrid w:val="0"/>
        <w:spacing w:line="590" w:lineRule="exact"/>
        <w:ind w:firstLine="640" w:firstLineChars="200"/>
        <w:jc w:val="both"/>
        <w:textAlignment w:val="auto"/>
        <w:rPr>
          <w:rFonts w:hint="eastAsia" w:ascii="仿宋_GB2312" w:hAnsi="仿宋_GB2312" w:eastAsia="仿宋_GB2312" w:cs="仿宋_GB2312"/>
          <w:b w:val="0"/>
          <w:bCs w:val="0"/>
          <w:color w:val="auto"/>
          <w:sz w:val="32"/>
          <w:szCs w:val="32"/>
          <w:u w:val="none"/>
          <w:lang w:val="en-US" w:eastAsia="zh-CN"/>
        </w:rPr>
      </w:pPr>
      <w:r>
        <w:rPr>
          <w:rFonts w:hint="eastAsia" w:ascii="仿宋_GB2312" w:hAnsi="仿宋_GB2312" w:eastAsia="仿宋_GB2312" w:cs="仿宋_GB2312"/>
          <w:b/>
          <w:bCs/>
          <w:color w:val="auto"/>
          <w:sz w:val="32"/>
          <w:szCs w:val="32"/>
          <w:u w:val="none"/>
          <w:lang w:val="en-US" w:eastAsia="zh-CN"/>
        </w:rPr>
        <w:t>第四条</w:t>
      </w:r>
      <w:r>
        <w:rPr>
          <w:rFonts w:hint="eastAsia" w:ascii="仿宋_GB2312" w:hAnsi="仿宋_GB2312" w:eastAsia="仿宋_GB2312" w:cs="仿宋_GB2312"/>
          <w:b w:val="0"/>
          <w:bCs w:val="0"/>
          <w:color w:val="auto"/>
          <w:sz w:val="32"/>
          <w:szCs w:val="32"/>
          <w:u w:val="none"/>
          <w:lang w:val="en-US" w:eastAsia="zh-CN"/>
        </w:rPr>
        <w:t xml:space="preserve"> </w:t>
      </w:r>
      <w:r>
        <w:rPr>
          <w:rFonts w:hint="eastAsia" w:ascii="仿宋_GB2312" w:hAnsi="仿宋_GB2312" w:eastAsia="仿宋_GB2312" w:cs="仿宋_GB2312"/>
          <w:b/>
          <w:bCs/>
          <w:color w:val="auto"/>
          <w:sz w:val="32"/>
          <w:szCs w:val="32"/>
          <w:u w:val="none"/>
          <w:lang w:val="en-US" w:eastAsia="zh-CN"/>
        </w:rPr>
        <w:t>（职能分工）</w:t>
      </w:r>
      <w:r>
        <w:rPr>
          <w:rFonts w:hint="eastAsia" w:ascii="仿宋_GB2312" w:hAnsi="仿宋_GB2312" w:eastAsia="仿宋_GB2312" w:cs="仿宋_GB2312"/>
          <w:b w:val="0"/>
          <w:bCs w:val="0"/>
          <w:color w:val="auto"/>
          <w:sz w:val="32"/>
          <w:szCs w:val="32"/>
          <w:u w:val="none"/>
          <w:lang w:val="en-US" w:eastAsia="zh-CN"/>
        </w:rPr>
        <w:t>江苏省药品监督管理局（以下简称省局）相关处室、检查分局、专业技术机构（含省局审评核查分中心）在各自职责范围内承担GMP符合性检查相关工作。</w:t>
      </w:r>
    </w:p>
    <w:p>
      <w:pPr>
        <w:keepNext w:val="0"/>
        <w:keepLines w:val="0"/>
        <w:pageBreakBefore w:val="0"/>
        <w:kinsoku/>
        <w:overflowPunct/>
        <w:topLinePunct w:val="0"/>
        <w:autoSpaceDE/>
        <w:autoSpaceDN/>
        <w:bidi w:val="0"/>
        <w:adjustRightInd w:val="0"/>
        <w:snapToGrid w:val="0"/>
        <w:spacing w:line="590" w:lineRule="exact"/>
        <w:ind w:firstLine="640" w:firstLineChars="200"/>
        <w:jc w:val="both"/>
        <w:textAlignment w:val="auto"/>
        <w:rPr>
          <w:rFonts w:hint="default" w:ascii="仿宋_GB2312" w:hAnsi="仿宋_GB2312" w:eastAsia="仿宋_GB2312" w:cs="仿宋_GB2312"/>
          <w:b w:val="0"/>
          <w:bCs w:val="0"/>
          <w:color w:val="auto"/>
          <w:sz w:val="32"/>
          <w:szCs w:val="32"/>
          <w:u w:val="none"/>
          <w:lang w:val="en-US" w:eastAsia="zh-CN"/>
        </w:rPr>
      </w:pPr>
      <w:r>
        <w:rPr>
          <w:rFonts w:hint="eastAsia" w:ascii="仿宋_GB2312" w:hAnsi="宋体" w:eastAsia="仿宋_GB2312" w:cs="宋体"/>
          <w:color w:val="auto"/>
          <w:sz w:val="32"/>
          <w:szCs w:val="32"/>
          <w:u w:val="none"/>
          <w:lang w:val="zh-TW"/>
        </w:rPr>
        <w:t>药品生产监管处（</w:t>
      </w:r>
      <w:r>
        <w:rPr>
          <w:rFonts w:hint="eastAsia" w:ascii="仿宋_GB2312" w:hAnsi="宋体" w:eastAsia="仿宋_GB2312" w:cs="宋体"/>
          <w:color w:val="auto"/>
          <w:sz w:val="32"/>
          <w:szCs w:val="32"/>
          <w:u w:val="none"/>
        </w:rPr>
        <w:t>以下简称药生处</w:t>
      </w:r>
      <w:r>
        <w:rPr>
          <w:rFonts w:hint="eastAsia" w:ascii="仿宋_GB2312" w:hAnsi="宋体" w:eastAsia="仿宋_GB2312" w:cs="宋体"/>
          <w:color w:val="auto"/>
          <w:sz w:val="32"/>
          <w:szCs w:val="32"/>
          <w:u w:val="none"/>
          <w:lang w:val="zh-TW"/>
        </w:rPr>
        <w:t>）负责</w:t>
      </w:r>
      <w:r>
        <w:rPr>
          <w:rFonts w:hint="eastAsia" w:ascii="仿宋_GB2312" w:hAnsi="仿宋_GB2312" w:eastAsia="仿宋_GB2312" w:cs="仿宋_GB2312"/>
          <w:b w:val="0"/>
          <w:bCs w:val="0"/>
          <w:color w:val="auto"/>
          <w:sz w:val="32"/>
          <w:szCs w:val="32"/>
          <w:u w:val="none"/>
          <w:lang w:val="en-US" w:eastAsia="zh-CN"/>
        </w:rPr>
        <w:t>GMP符合性检查的监督</w:t>
      </w:r>
      <w:r>
        <w:rPr>
          <w:rFonts w:hint="eastAsia" w:ascii="仿宋_GB2312" w:hAnsi="宋体" w:eastAsia="仿宋_GB2312" w:cs="宋体"/>
          <w:color w:val="auto"/>
          <w:sz w:val="32"/>
          <w:szCs w:val="32"/>
          <w:u w:val="none"/>
          <w:lang w:val="zh-TW"/>
        </w:rPr>
        <w:t>实施</w:t>
      </w:r>
      <w:r>
        <w:rPr>
          <w:rFonts w:hint="eastAsia" w:ascii="仿宋_GB2312" w:hAnsi="宋体" w:eastAsia="仿宋_GB2312" w:cs="宋体"/>
          <w:color w:val="auto"/>
          <w:sz w:val="32"/>
          <w:szCs w:val="32"/>
          <w:u w:val="none"/>
        </w:rPr>
        <w:t>，</w:t>
      </w:r>
      <w:r>
        <w:rPr>
          <w:rFonts w:hint="eastAsia" w:ascii="仿宋_GB2312" w:hAnsi="宋体" w:eastAsia="仿宋_GB2312" w:cs="宋体"/>
          <w:color w:val="auto"/>
          <w:sz w:val="32"/>
          <w:szCs w:val="32"/>
          <w:u w:val="none"/>
          <w:lang w:eastAsia="zh-CN"/>
        </w:rPr>
        <w:t>统筹</w:t>
      </w:r>
      <w:r>
        <w:rPr>
          <w:rFonts w:hint="eastAsia" w:ascii="仿宋_GB2312" w:hAnsi="宋体" w:eastAsia="仿宋_GB2312" w:cs="宋体"/>
          <w:color w:val="auto"/>
          <w:sz w:val="32"/>
          <w:szCs w:val="32"/>
          <w:u w:val="none"/>
          <w:lang w:val="zh-TW"/>
        </w:rPr>
        <w:t>协调跨省检查</w:t>
      </w:r>
      <w:r>
        <w:rPr>
          <w:rFonts w:hint="eastAsia" w:ascii="仿宋_GB2312" w:hAnsi="宋体" w:eastAsia="仿宋_GB2312" w:cs="宋体"/>
          <w:color w:val="auto"/>
          <w:sz w:val="32"/>
          <w:szCs w:val="32"/>
          <w:u w:val="none"/>
          <w:lang w:val="zh-TW" w:eastAsia="zh-CN"/>
        </w:rPr>
        <w:t>等；</w:t>
      </w:r>
      <w:r>
        <w:rPr>
          <w:rFonts w:hint="eastAsia" w:ascii="仿宋_GB2312" w:hAnsi="宋体" w:eastAsia="仿宋_GB2312" w:cs="宋体"/>
          <w:color w:val="auto"/>
          <w:sz w:val="32"/>
          <w:szCs w:val="32"/>
          <w:u w:val="none"/>
          <w:lang w:val="zh-TW"/>
        </w:rPr>
        <w:t>检查分局</w:t>
      </w:r>
      <w:r>
        <w:rPr>
          <w:rFonts w:hint="eastAsia" w:ascii="仿宋_GB2312" w:hAnsi="宋体" w:eastAsia="仿宋_GB2312" w:cs="宋体"/>
          <w:color w:val="auto"/>
          <w:sz w:val="32"/>
          <w:szCs w:val="32"/>
          <w:u w:val="none"/>
          <w:lang w:val="zh-TW" w:eastAsia="zh-CN"/>
        </w:rPr>
        <w:t>参与</w:t>
      </w:r>
      <w:r>
        <w:rPr>
          <w:rFonts w:hint="eastAsia" w:ascii="仿宋_GB2312" w:hAnsi="宋体" w:eastAsia="仿宋_GB2312" w:cs="宋体"/>
          <w:color w:val="auto"/>
          <w:sz w:val="32"/>
          <w:szCs w:val="32"/>
          <w:u w:val="none"/>
        </w:rPr>
        <w:t>实施</w:t>
      </w:r>
      <w:r>
        <w:rPr>
          <w:rFonts w:hint="eastAsia" w:ascii="仿宋_GB2312" w:hAnsi="宋体" w:eastAsia="仿宋_GB2312" w:cs="宋体"/>
          <w:color w:val="auto"/>
          <w:sz w:val="32"/>
          <w:szCs w:val="32"/>
          <w:u w:val="none"/>
          <w:lang w:val="zh-TW"/>
        </w:rPr>
        <w:t>GMP符合性检查</w:t>
      </w:r>
      <w:r>
        <w:rPr>
          <w:rFonts w:hint="eastAsia" w:ascii="仿宋_GB2312" w:hAnsi="宋体" w:eastAsia="仿宋_GB2312" w:cs="宋体"/>
          <w:color w:val="auto"/>
          <w:sz w:val="32"/>
          <w:szCs w:val="32"/>
          <w:u w:val="none"/>
          <w:lang w:val="zh-TW" w:eastAsia="zh-CN"/>
        </w:rPr>
        <w:t>，负责属地申请人</w:t>
      </w:r>
      <w:r>
        <w:rPr>
          <w:rFonts w:hint="eastAsia" w:ascii="仿宋_GB2312" w:hAnsi="宋体" w:eastAsia="仿宋_GB2312" w:cs="宋体"/>
          <w:color w:val="auto"/>
          <w:sz w:val="32"/>
          <w:szCs w:val="32"/>
          <w:u w:val="none"/>
          <w:lang w:val="en-US" w:eastAsia="zh-CN"/>
        </w:rPr>
        <w:t>/</w:t>
      </w:r>
      <w:r>
        <w:rPr>
          <w:rFonts w:hint="eastAsia" w:ascii="仿宋_GB2312" w:hAnsi="宋体" w:eastAsia="仿宋_GB2312" w:cs="宋体"/>
          <w:color w:val="auto"/>
          <w:sz w:val="32"/>
          <w:szCs w:val="32"/>
          <w:u w:val="none"/>
          <w:lang w:val="zh-TW" w:eastAsia="zh-CN"/>
        </w:rPr>
        <w:t>持有人、生产企业</w:t>
      </w:r>
      <w:r>
        <w:rPr>
          <w:rFonts w:hint="eastAsia" w:ascii="仿宋_GB2312" w:hAnsi="宋体" w:eastAsia="仿宋_GB2312" w:cs="宋体"/>
          <w:color w:val="auto"/>
          <w:sz w:val="32"/>
          <w:szCs w:val="32"/>
          <w:u w:val="none"/>
          <w:lang w:val="zh-TW"/>
        </w:rPr>
        <w:t>检查后整改</w:t>
      </w:r>
      <w:r>
        <w:rPr>
          <w:rFonts w:hint="eastAsia" w:ascii="仿宋_GB2312" w:hAnsi="宋体" w:eastAsia="仿宋_GB2312" w:cs="宋体"/>
          <w:color w:val="auto"/>
          <w:sz w:val="32"/>
          <w:szCs w:val="32"/>
          <w:u w:val="none"/>
        </w:rPr>
        <w:t>确认、</w:t>
      </w:r>
      <w:r>
        <w:rPr>
          <w:rFonts w:hint="eastAsia" w:ascii="仿宋_GB2312" w:hAnsi="宋体" w:eastAsia="仿宋_GB2312" w:cs="宋体"/>
          <w:color w:val="auto"/>
          <w:sz w:val="32"/>
          <w:szCs w:val="32"/>
          <w:u w:val="none"/>
          <w:lang w:eastAsia="zh-CN"/>
        </w:rPr>
        <w:t>检查后续处理实施</w:t>
      </w:r>
      <w:r>
        <w:rPr>
          <w:rFonts w:hint="eastAsia" w:ascii="仿宋_GB2312" w:hAnsi="宋体" w:eastAsia="仿宋_GB2312" w:cs="宋体"/>
          <w:color w:val="auto"/>
          <w:sz w:val="32"/>
          <w:szCs w:val="32"/>
          <w:u w:val="none"/>
        </w:rPr>
        <w:t>等</w:t>
      </w:r>
      <w:r>
        <w:rPr>
          <w:rFonts w:hint="eastAsia" w:ascii="仿宋_GB2312" w:hAnsi="宋体" w:eastAsia="仿宋_GB2312" w:cs="宋体"/>
          <w:color w:val="auto"/>
          <w:sz w:val="32"/>
          <w:szCs w:val="32"/>
          <w:u w:val="none"/>
          <w:lang w:eastAsia="zh-CN"/>
        </w:rPr>
        <w:t>。</w:t>
      </w:r>
      <w:r>
        <w:rPr>
          <w:rFonts w:hint="eastAsia" w:ascii="仿宋_GB2312" w:hAnsi="宋体" w:eastAsia="仿宋_GB2312" w:cs="宋体"/>
          <w:color w:val="auto"/>
          <w:sz w:val="32"/>
          <w:szCs w:val="32"/>
          <w:u w:val="none"/>
          <w:lang w:val="en-US" w:eastAsia="zh-CN"/>
        </w:rPr>
        <w:t xml:space="preserve"> </w:t>
      </w:r>
    </w:p>
    <w:p>
      <w:pPr>
        <w:keepNext w:val="0"/>
        <w:keepLines w:val="0"/>
        <w:pageBreakBefore w:val="0"/>
        <w:kinsoku/>
        <w:overflowPunct/>
        <w:topLinePunct w:val="0"/>
        <w:autoSpaceDE/>
        <w:autoSpaceDN/>
        <w:bidi w:val="0"/>
        <w:adjustRightInd w:val="0"/>
        <w:snapToGrid w:val="0"/>
        <w:spacing w:line="590" w:lineRule="exact"/>
        <w:ind w:firstLine="640" w:firstLineChars="200"/>
        <w:jc w:val="both"/>
        <w:textAlignment w:val="auto"/>
        <w:rPr>
          <w:rFonts w:hint="eastAsia" w:ascii="仿宋_GB2312" w:hAnsi="宋体" w:eastAsia="仿宋_GB2312" w:cs="宋体"/>
          <w:color w:val="auto"/>
          <w:sz w:val="32"/>
          <w:szCs w:val="32"/>
          <w:u w:val="none"/>
          <w:lang w:val="en-US" w:eastAsia="zh-CN"/>
        </w:rPr>
      </w:pPr>
      <w:r>
        <w:rPr>
          <w:rFonts w:hint="eastAsia" w:ascii="仿宋_GB2312" w:hAnsi="宋体" w:eastAsia="仿宋_GB2312" w:cs="宋体"/>
          <w:color w:val="auto"/>
          <w:sz w:val="32"/>
          <w:szCs w:val="32"/>
          <w:u w:val="none"/>
        </w:rPr>
        <w:t>审核查验中心（疫苗检查中心，以下简称核查中心）负责</w:t>
      </w:r>
      <w:r>
        <w:rPr>
          <w:rFonts w:hint="eastAsia" w:ascii="仿宋_GB2312" w:hAnsi="Times New Roman" w:eastAsia="仿宋_GB2312" w:cs="仿宋_GB2312"/>
          <w:color w:val="auto"/>
          <w:kern w:val="2"/>
          <w:sz w:val="32"/>
          <w:szCs w:val="32"/>
          <w:u w:val="none"/>
          <w:lang w:eastAsia="zh-CN"/>
        </w:rPr>
        <w:t>依申请的</w:t>
      </w:r>
      <w:r>
        <w:rPr>
          <w:rFonts w:hint="eastAsia" w:ascii="仿宋_GB2312" w:hAnsi="宋体" w:eastAsia="仿宋_GB2312" w:cs="宋体"/>
          <w:color w:val="auto"/>
          <w:sz w:val="32"/>
          <w:szCs w:val="32"/>
          <w:u w:val="none"/>
        </w:rPr>
        <w:t>GMP符合性检查</w:t>
      </w:r>
      <w:r>
        <w:rPr>
          <w:rFonts w:hint="eastAsia" w:ascii="仿宋_GB2312" w:hAnsi="宋体" w:eastAsia="仿宋_GB2312" w:cs="宋体"/>
          <w:color w:val="auto"/>
          <w:sz w:val="32"/>
          <w:szCs w:val="32"/>
          <w:u w:val="none"/>
          <w:lang w:eastAsia="zh-CN"/>
        </w:rPr>
        <w:t>的受理和检查实施；部分依职权的</w:t>
      </w:r>
      <w:r>
        <w:rPr>
          <w:rFonts w:hint="eastAsia" w:ascii="仿宋_GB2312" w:hAnsi="宋体" w:eastAsia="仿宋_GB2312" w:cs="宋体"/>
          <w:color w:val="auto"/>
          <w:sz w:val="32"/>
          <w:szCs w:val="32"/>
          <w:u w:val="none"/>
        </w:rPr>
        <w:t>GMP符合性检查</w:t>
      </w:r>
      <w:r>
        <w:rPr>
          <w:rFonts w:hint="eastAsia" w:ascii="仿宋_GB2312" w:hAnsi="宋体" w:eastAsia="仿宋_GB2312" w:cs="宋体"/>
          <w:color w:val="auto"/>
          <w:sz w:val="32"/>
          <w:szCs w:val="32"/>
          <w:u w:val="none"/>
          <w:lang w:eastAsia="zh-CN"/>
        </w:rPr>
        <w:t>的实施；负责对其实施的检查结果进行评估，提出检查技术意见和处理建议，</w:t>
      </w:r>
      <w:r>
        <w:rPr>
          <w:rFonts w:hint="eastAsia" w:ascii="仿宋_GB2312" w:hAnsi="宋体" w:eastAsia="仿宋_GB2312" w:cs="宋体"/>
          <w:color w:val="auto"/>
          <w:sz w:val="32"/>
          <w:szCs w:val="32"/>
          <w:u w:val="none"/>
        </w:rPr>
        <w:t>出具《药品检查综合评定报告书》</w:t>
      </w:r>
      <w:r>
        <w:rPr>
          <w:rFonts w:hint="eastAsia" w:ascii="仿宋_GB2312" w:hAnsi="宋体" w:eastAsia="仿宋_GB2312" w:cs="宋体"/>
          <w:color w:val="auto"/>
          <w:sz w:val="32"/>
          <w:szCs w:val="32"/>
          <w:u w:val="none"/>
          <w:lang w:eastAsia="zh-CN"/>
        </w:rPr>
        <w:t>；为检查分局等实施的</w:t>
      </w:r>
      <w:r>
        <w:rPr>
          <w:rFonts w:hint="eastAsia" w:ascii="仿宋_GB2312" w:hAnsi="宋体" w:eastAsia="仿宋_GB2312" w:cs="宋体"/>
          <w:color w:val="auto"/>
          <w:sz w:val="32"/>
          <w:szCs w:val="32"/>
          <w:u w:val="none"/>
          <w:lang w:val="en-US" w:eastAsia="zh-CN"/>
        </w:rPr>
        <w:t>GMP符合性检查提供必要的技术支持。</w:t>
      </w:r>
    </w:p>
    <w:p>
      <w:pPr>
        <w:keepNext w:val="0"/>
        <w:keepLines w:val="0"/>
        <w:pageBreakBefore w:val="0"/>
        <w:numPr>
          <w:ilvl w:val="0"/>
          <w:numId w:val="1"/>
        </w:numPr>
        <w:kinsoku/>
        <w:overflowPunct/>
        <w:topLinePunct w:val="0"/>
        <w:autoSpaceDE/>
        <w:autoSpaceDN/>
        <w:bidi w:val="0"/>
        <w:adjustRightInd w:val="0"/>
        <w:snapToGrid w:val="0"/>
        <w:spacing w:line="590" w:lineRule="exact"/>
        <w:ind w:firstLine="640" w:firstLineChars="200"/>
        <w:jc w:val="center"/>
        <w:textAlignment w:val="auto"/>
        <w:rPr>
          <w:rFonts w:hint="eastAsia" w:ascii="黑体" w:hAnsi="黑体" w:eastAsia="黑体" w:cs="黑体"/>
          <w:b w:val="0"/>
          <w:bCs w:val="0"/>
          <w:color w:val="auto"/>
          <w:sz w:val="32"/>
          <w:szCs w:val="32"/>
          <w:u w:val="none"/>
          <w:lang w:val="en-US" w:eastAsia="zh-CN"/>
        </w:rPr>
      </w:pPr>
      <w:r>
        <w:rPr>
          <w:rFonts w:hint="eastAsia" w:ascii="黑体" w:hAnsi="黑体" w:eastAsia="黑体" w:cs="黑体"/>
          <w:b w:val="0"/>
          <w:bCs w:val="0"/>
          <w:color w:val="auto"/>
          <w:sz w:val="32"/>
          <w:szCs w:val="32"/>
          <w:u w:val="none"/>
          <w:lang w:val="en-US" w:eastAsia="zh-CN"/>
        </w:rPr>
        <w:t>依申请的GMP符合性检查</w:t>
      </w:r>
    </w:p>
    <w:p>
      <w:pPr>
        <w:keepNext w:val="0"/>
        <w:keepLines w:val="0"/>
        <w:pageBreakBefore w:val="0"/>
        <w:numPr>
          <w:ilvl w:val="0"/>
          <w:numId w:val="0"/>
        </w:numPr>
        <w:kinsoku/>
        <w:overflowPunct/>
        <w:topLinePunct w:val="0"/>
        <w:autoSpaceDE/>
        <w:autoSpaceDN/>
        <w:bidi w:val="0"/>
        <w:adjustRightInd w:val="0"/>
        <w:snapToGrid w:val="0"/>
        <w:spacing w:line="590" w:lineRule="exact"/>
        <w:jc w:val="center"/>
        <w:textAlignment w:val="auto"/>
        <w:rPr>
          <w:rFonts w:hint="default" w:ascii="黑体" w:hAnsi="黑体" w:eastAsia="黑体" w:cs="黑体"/>
          <w:b w:val="0"/>
          <w:bCs w:val="0"/>
          <w:color w:val="auto"/>
          <w:sz w:val="32"/>
          <w:szCs w:val="32"/>
          <w:u w:val="none"/>
          <w:lang w:val="en-US" w:eastAsia="zh-CN"/>
        </w:rPr>
      </w:pPr>
      <w:r>
        <w:rPr>
          <w:rFonts w:hint="eastAsia" w:ascii="黑体" w:hAnsi="黑体" w:eastAsia="黑体" w:cs="黑体"/>
          <w:b w:val="0"/>
          <w:bCs w:val="0"/>
          <w:color w:val="auto"/>
          <w:sz w:val="32"/>
          <w:szCs w:val="32"/>
          <w:u w:val="none"/>
          <w:lang w:val="en-US" w:eastAsia="zh-CN"/>
        </w:rPr>
        <w:t>第一节  申请情形</w:t>
      </w:r>
    </w:p>
    <w:p>
      <w:pPr>
        <w:keepNext w:val="0"/>
        <w:keepLines w:val="0"/>
        <w:pageBreakBefore w:val="0"/>
        <w:numPr>
          <w:ilvl w:val="0"/>
          <w:numId w:val="0"/>
        </w:numPr>
        <w:kinsoku/>
        <w:overflowPunct/>
        <w:topLinePunct w:val="0"/>
        <w:autoSpaceDE/>
        <w:autoSpaceDN/>
        <w:bidi w:val="0"/>
        <w:adjustRightInd w:val="0"/>
        <w:snapToGrid w:val="0"/>
        <w:spacing w:line="590" w:lineRule="exact"/>
        <w:ind w:firstLine="640" w:firstLineChars="200"/>
        <w:jc w:val="both"/>
        <w:textAlignment w:val="auto"/>
        <w:rPr>
          <w:rFonts w:hint="eastAsia" w:ascii="仿宋_GB2312" w:hAnsi="仿宋_GB2312" w:eastAsia="仿宋_GB2312" w:cs="仿宋_GB2312"/>
          <w:b w:val="0"/>
          <w:bCs w:val="0"/>
          <w:color w:val="auto"/>
          <w:sz w:val="32"/>
          <w:szCs w:val="32"/>
          <w:u w:val="none"/>
          <w:lang w:val="en-US" w:eastAsia="zh-CN"/>
        </w:rPr>
      </w:pPr>
      <w:r>
        <w:rPr>
          <w:rFonts w:hint="eastAsia" w:ascii="仿宋_GB2312" w:hAnsi="仿宋_GB2312" w:eastAsia="仿宋_GB2312" w:cs="仿宋_GB2312"/>
          <w:b/>
          <w:bCs/>
          <w:color w:val="auto"/>
          <w:sz w:val="32"/>
          <w:szCs w:val="32"/>
          <w:u w:val="none"/>
          <w:lang w:val="en-US" w:eastAsia="zh-CN"/>
        </w:rPr>
        <w:t>第五条</w:t>
      </w:r>
      <w:r>
        <w:rPr>
          <w:rFonts w:hint="eastAsia" w:ascii="仿宋_GB2312" w:hAnsi="仿宋_GB2312" w:eastAsia="仿宋_GB2312" w:cs="仿宋_GB2312"/>
          <w:b w:val="0"/>
          <w:bCs w:val="0"/>
          <w:color w:val="auto"/>
          <w:sz w:val="32"/>
          <w:szCs w:val="32"/>
          <w:u w:val="none"/>
          <w:lang w:val="en-US" w:eastAsia="zh-CN"/>
        </w:rPr>
        <w:t xml:space="preserve"> </w:t>
      </w:r>
      <w:r>
        <w:rPr>
          <w:rFonts w:hint="eastAsia" w:ascii="仿宋_GB2312" w:hAnsi="仿宋_GB2312" w:eastAsia="仿宋_GB2312" w:cs="仿宋_GB2312"/>
          <w:b/>
          <w:bCs/>
          <w:color w:val="auto"/>
          <w:sz w:val="32"/>
          <w:szCs w:val="32"/>
          <w:u w:val="none"/>
          <w:lang w:val="en-US" w:eastAsia="zh-CN"/>
        </w:rPr>
        <w:t>（申请情形/上市前GMP符合性检查）</w:t>
      </w:r>
      <w:r>
        <w:rPr>
          <w:rFonts w:hint="eastAsia" w:ascii="仿宋_GB2312" w:hAnsi="仿宋_GB2312" w:eastAsia="仿宋_GB2312" w:cs="仿宋_GB2312"/>
          <w:b w:val="0"/>
          <w:bCs w:val="0"/>
          <w:color w:val="auto"/>
          <w:sz w:val="32"/>
          <w:szCs w:val="32"/>
          <w:u w:val="none"/>
          <w:lang w:val="en-US" w:eastAsia="zh-CN"/>
        </w:rPr>
        <w:t>申请药品上市许可且符合下列情形之一的，申请人/持有人、生产企业应当按照《药品注册管理办法》第四十七条、《药品生产监督管理办法》第五十二条、《药品检查管理办法（试行）》第三十四条等规定，依法申请并配合开展上市前的GMP符合性检查：</w:t>
      </w:r>
    </w:p>
    <w:p>
      <w:pPr>
        <w:keepNext w:val="0"/>
        <w:keepLines w:val="0"/>
        <w:pageBreakBefore w:val="0"/>
        <w:numPr>
          <w:ilvl w:val="0"/>
          <w:numId w:val="0"/>
        </w:numPr>
        <w:kinsoku/>
        <w:overflowPunct/>
        <w:topLinePunct w:val="0"/>
        <w:autoSpaceDE/>
        <w:autoSpaceDN/>
        <w:bidi w:val="0"/>
        <w:adjustRightInd w:val="0"/>
        <w:snapToGrid w:val="0"/>
        <w:spacing w:line="590" w:lineRule="exact"/>
        <w:ind w:firstLine="640" w:firstLineChars="200"/>
        <w:jc w:val="both"/>
        <w:textAlignment w:val="auto"/>
        <w:rPr>
          <w:rFonts w:hint="eastAsia" w:ascii="仿宋_GB2312" w:hAnsi="仿宋_GB2312" w:eastAsia="仿宋_GB2312" w:cs="仿宋_GB2312"/>
          <w:b w:val="0"/>
          <w:bCs w:val="0"/>
          <w:color w:val="auto"/>
          <w:sz w:val="32"/>
          <w:szCs w:val="32"/>
          <w:u w:val="none"/>
          <w:lang w:val="en-US" w:eastAsia="zh-CN"/>
        </w:rPr>
      </w:pPr>
      <w:r>
        <w:rPr>
          <w:rFonts w:hint="eastAsia" w:ascii="仿宋_GB2312" w:hAnsi="仿宋_GB2312" w:eastAsia="仿宋_GB2312" w:cs="仿宋_GB2312"/>
          <w:b w:val="0"/>
          <w:bCs w:val="0"/>
          <w:color w:val="auto"/>
          <w:sz w:val="32"/>
          <w:szCs w:val="32"/>
          <w:u w:val="none"/>
          <w:lang w:val="en-US" w:eastAsia="zh-CN"/>
        </w:rPr>
        <w:t>（一）申请</w:t>
      </w:r>
      <w:r>
        <w:rPr>
          <w:rFonts w:hint="default" w:ascii="仿宋_GB2312" w:hAnsi="仿宋_GB2312" w:eastAsia="仿宋_GB2312" w:cs="仿宋_GB2312"/>
          <w:b w:val="0"/>
          <w:bCs w:val="0"/>
          <w:color w:val="auto"/>
          <w:sz w:val="32"/>
          <w:szCs w:val="32"/>
          <w:u w:val="none"/>
          <w:lang w:val="en-US" w:eastAsia="zh-CN"/>
        </w:rPr>
        <w:t>创新药、改良型新药以及生物制品等</w:t>
      </w:r>
      <w:r>
        <w:rPr>
          <w:rFonts w:hint="eastAsia" w:ascii="仿宋_GB2312" w:hAnsi="仿宋_GB2312" w:eastAsia="仿宋_GB2312" w:cs="仿宋_GB2312"/>
          <w:b w:val="0"/>
          <w:bCs w:val="0"/>
          <w:color w:val="auto"/>
          <w:sz w:val="32"/>
          <w:szCs w:val="32"/>
          <w:u w:val="none"/>
          <w:lang w:val="en-US" w:eastAsia="zh-CN"/>
        </w:rPr>
        <w:t>上市许可的；</w:t>
      </w:r>
    </w:p>
    <w:p>
      <w:pPr>
        <w:pStyle w:val="4"/>
        <w:ind w:firstLine="640" w:firstLineChars="200"/>
        <w:rPr>
          <w:rFonts w:hint="eastAsia" w:ascii="仿宋_GB2312" w:hAnsi="仿宋_GB2312" w:eastAsia="仿宋_GB2312" w:cs="仿宋_GB2312"/>
          <w:b w:val="0"/>
          <w:bCs w:val="0"/>
          <w:color w:val="auto"/>
          <w:sz w:val="32"/>
          <w:szCs w:val="32"/>
          <w:u w:val="none"/>
          <w:lang w:val="en-US" w:eastAsia="zh-CN"/>
        </w:rPr>
      </w:pPr>
      <w:r>
        <w:rPr>
          <w:rFonts w:hint="eastAsia" w:ascii="仿宋_GB2312" w:hAnsi="仿宋_GB2312" w:eastAsia="仿宋_GB2312" w:cs="仿宋_GB2312"/>
          <w:b w:val="0"/>
          <w:bCs w:val="0"/>
          <w:color w:val="auto"/>
          <w:sz w:val="32"/>
          <w:szCs w:val="32"/>
          <w:u w:val="none"/>
          <w:lang w:val="en-US" w:eastAsia="zh-CN"/>
        </w:rPr>
        <w:t>（二）申请仿制药等上市许可或原料药关联审评，相应剂型（生产车间/生产线）等未通过GMP符合性检查，如新剂型首个品种、新增原料药品种等，基于风险管理原则需要检查的；</w:t>
      </w:r>
    </w:p>
    <w:p>
      <w:pPr>
        <w:keepNext w:val="0"/>
        <w:keepLines w:val="0"/>
        <w:pageBreakBefore w:val="0"/>
        <w:numPr>
          <w:ilvl w:val="0"/>
          <w:numId w:val="0"/>
        </w:numPr>
        <w:kinsoku/>
        <w:overflowPunct/>
        <w:topLinePunct w:val="0"/>
        <w:autoSpaceDE/>
        <w:autoSpaceDN/>
        <w:bidi w:val="0"/>
        <w:adjustRightInd w:val="0"/>
        <w:snapToGrid w:val="0"/>
        <w:spacing w:line="590" w:lineRule="exact"/>
        <w:ind w:firstLine="640" w:firstLineChars="200"/>
        <w:jc w:val="both"/>
        <w:textAlignment w:val="auto"/>
        <w:rPr>
          <w:rFonts w:hint="eastAsia" w:ascii="仿宋_GB2312" w:hAnsi="仿宋_GB2312" w:eastAsia="仿宋_GB2312" w:cs="仿宋_GB2312"/>
          <w:b w:val="0"/>
          <w:bCs w:val="0"/>
          <w:color w:val="auto"/>
          <w:sz w:val="32"/>
          <w:szCs w:val="32"/>
          <w:u w:val="none"/>
          <w:lang w:val="en-US" w:eastAsia="zh-CN"/>
        </w:rPr>
      </w:pPr>
      <w:r>
        <w:rPr>
          <w:rFonts w:hint="eastAsia" w:ascii="仿宋_GB2312" w:hAnsi="仿宋_GB2312" w:eastAsia="仿宋_GB2312" w:cs="仿宋_GB2312"/>
          <w:b w:val="0"/>
          <w:bCs w:val="0"/>
          <w:color w:val="auto"/>
          <w:sz w:val="32"/>
          <w:szCs w:val="32"/>
          <w:u w:val="none"/>
          <w:lang w:val="en-US" w:eastAsia="zh-CN"/>
        </w:rPr>
        <w:t>（三）申请仿制药等上市许可或原料药关联审评，相应剂型（生产车间/生产线）已</w:t>
      </w:r>
      <w:r>
        <w:rPr>
          <w:rFonts w:hint="default" w:ascii="仿宋_GB2312" w:hAnsi="仿宋_GB2312" w:eastAsia="仿宋_GB2312" w:cs="仿宋_GB2312"/>
          <w:b w:val="0"/>
          <w:bCs w:val="0"/>
          <w:color w:val="auto"/>
          <w:sz w:val="32"/>
          <w:szCs w:val="32"/>
          <w:u w:val="none"/>
          <w:lang w:val="en-US" w:eastAsia="zh-CN"/>
        </w:rPr>
        <w:t>通过</w:t>
      </w:r>
      <w:r>
        <w:rPr>
          <w:rFonts w:hint="eastAsia" w:ascii="仿宋_GB2312" w:hAnsi="仿宋_GB2312" w:eastAsia="仿宋_GB2312" w:cs="仿宋_GB2312"/>
          <w:b w:val="0"/>
          <w:bCs w:val="0"/>
          <w:color w:val="auto"/>
          <w:sz w:val="32"/>
          <w:szCs w:val="32"/>
          <w:u w:val="none"/>
          <w:lang w:val="en-US" w:eastAsia="zh-CN"/>
        </w:rPr>
        <w:t>GMP</w:t>
      </w:r>
      <w:r>
        <w:rPr>
          <w:rFonts w:hint="default" w:ascii="仿宋_GB2312" w:hAnsi="仿宋_GB2312" w:eastAsia="仿宋_GB2312" w:cs="仿宋_GB2312"/>
          <w:b w:val="0"/>
          <w:bCs w:val="0"/>
          <w:color w:val="auto"/>
          <w:sz w:val="32"/>
          <w:szCs w:val="32"/>
          <w:u w:val="none"/>
          <w:lang w:val="en-US" w:eastAsia="zh-CN"/>
        </w:rPr>
        <w:t>符合性检查</w:t>
      </w:r>
      <w:r>
        <w:rPr>
          <w:rFonts w:hint="eastAsia" w:ascii="仿宋_GB2312" w:hAnsi="仿宋_GB2312" w:eastAsia="仿宋_GB2312" w:cs="仿宋_GB2312"/>
          <w:b w:val="0"/>
          <w:bCs w:val="0"/>
          <w:color w:val="auto"/>
          <w:sz w:val="32"/>
          <w:szCs w:val="32"/>
          <w:u w:val="none"/>
          <w:lang w:val="en-US" w:eastAsia="zh-CN"/>
        </w:rPr>
        <w:t>但是通过</w:t>
      </w:r>
      <w:r>
        <w:rPr>
          <w:rFonts w:hint="eastAsia" w:ascii="仿宋_GB2312" w:hAnsi="Times New Roman" w:eastAsia="仿宋_GB2312" w:cs="仿宋_GB2312"/>
          <w:color w:val="auto"/>
          <w:kern w:val="2"/>
          <w:sz w:val="32"/>
          <w:szCs w:val="32"/>
          <w:u w:val="none"/>
          <w:lang w:val="en-US" w:eastAsia="zh-CN"/>
        </w:rPr>
        <w:t>本程序第二十二条规定年限</w:t>
      </w:r>
      <w:r>
        <w:rPr>
          <w:rFonts w:hint="eastAsia" w:ascii="仿宋_GB2312" w:hAnsi="仿宋_GB2312" w:eastAsia="仿宋_GB2312" w:cs="仿宋_GB2312"/>
          <w:b w:val="0"/>
          <w:bCs w:val="0"/>
          <w:color w:val="auto"/>
          <w:sz w:val="32"/>
          <w:szCs w:val="32"/>
          <w:u w:val="none"/>
          <w:lang w:val="en-US" w:eastAsia="zh-CN"/>
        </w:rPr>
        <w:t>需要再次检查的；</w:t>
      </w:r>
    </w:p>
    <w:p>
      <w:pPr>
        <w:keepNext w:val="0"/>
        <w:keepLines w:val="0"/>
        <w:pageBreakBefore w:val="0"/>
        <w:numPr>
          <w:ilvl w:val="0"/>
          <w:numId w:val="0"/>
        </w:numPr>
        <w:kinsoku/>
        <w:overflowPunct/>
        <w:topLinePunct w:val="0"/>
        <w:autoSpaceDE/>
        <w:autoSpaceDN/>
        <w:bidi w:val="0"/>
        <w:adjustRightInd w:val="0"/>
        <w:snapToGrid w:val="0"/>
        <w:spacing w:line="590" w:lineRule="exact"/>
        <w:ind w:firstLine="640" w:firstLineChars="200"/>
        <w:jc w:val="both"/>
        <w:textAlignment w:val="auto"/>
        <w:rPr>
          <w:rFonts w:hint="default" w:ascii="仿宋_GB2312" w:hAnsi="仿宋_GB2312" w:eastAsia="仿宋_GB2312" w:cs="仿宋_GB2312"/>
          <w:b w:val="0"/>
          <w:bCs w:val="0"/>
          <w:color w:val="auto"/>
          <w:sz w:val="32"/>
          <w:szCs w:val="32"/>
          <w:u w:val="none"/>
          <w:lang w:val="en-US" w:eastAsia="zh-CN"/>
        </w:rPr>
      </w:pPr>
      <w:r>
        <w:rPr>
          <w:rFonts w:hint="eastAsia" w:ascii="仿宋_GB2312" w:hAnsi="仿宋_GB2312" w:eastAsia="仿宋_GB2312" w:cs="仿宋_GB2312"/>
          <w:b w:val="0"/>
          <w:bCs w:val="0"/>
          <w:color w:val="auto"/>
          <w:sz w:val="32"/>
          <w:szCs w:val="32"/>
          <w:u w:val="none"/>
          <w:lang w:val="en-US" w:eastAsia="zh-CN"/>
        </w:rPr>
        <w:t>（四）其他依据风险管理原则，监管部门认定需要进行检查的。</w:t>
      </w:r>
    </w:p>
    <w:p>
      <w:pPr>
        <w:keepNext w:val="0"/>
        <w:keepLines w:val="0"/>
        <w:pageBreakBefore w:val="0"/>
        <w:kinsoku/>
        <w:overflowPunct/>
        <w:topLinePunct w:val="0"/>
        <w:autoSpaceDE/>
        <w:autoSpaceDN/>
        <w:bidi w:val="0"/>
        <w:adjustRightInd w:val="0"/>
        <w:snapToGrid w:val="0"/>
        <w:spacing w:line="590" w:lineRule="exact"/>
        <w:ind w:firstLine="640" w:firstLineChars="200"/>
        <w:jc w:val="both"/>
        <w:textAlignment w:val="auto"/>
        <w:rPr>
          <w:rFonts w:hint="eastAsia"/>
          <w:color w:val="auto"/>
          <w:u w:val="none"/>
          <w:vertAlign w:val="baseline"/>
          <w:lang w:val="en-US" w:eastAsia="zh-CN"/>
        </w:rPr>
      </w:pPr>
      <w:r>
        <w:rPr>
          <w:rFonts w:hint="eastAsia" w:ascii="仿宋_GB2312" w:hAnsi="仿宋_GB2312" w:eastAsia="仿宋_GB2312" w:cs="仿宋_GB2312"/>
          <w:b/>
          <w:bCs/>
          <w:color w:val="auto"/>
          <w:sz w:val="32"/>
          <w:szCs w:val="32"/>
          <w:u w:val="none"/>
          <w:lang w:val="en-US" w:eastAsia="zh-CN"/>
        </w:rPr>
        <w:t>第六条</w:t>
      </w:r>
      <w:r>
        <w:rPr>
          <w:rFonts w:hint="eastAsia" w:ascii="Times New Roman" w:hAnsi="Times New Roman" w:eastAsia="仿宋_GB2312" w:cs="Times New Roman"/>
          <w:color w:val="auto"/>
          <w:kern w:val="2"/>
          <w:sz w:val="32"/>
          <w:szCs w:val="32"/>
          <w:u w:val="none"/>
          <w:lang w:val="en-US" w:eastAsia="zh-CN"/>
        </w:rPr>
        <w:t xml:space="preserve"> </w:t>
      </w:r>
      <w:r>
        <w:rPr>
          <w:rFonts w:hint="eastAsia" w:ascii="仿宋_GB2312" w:hAnsi="仿宋_GB2312" w:eastAsia="仿宋_GB2312" w:cs="仿宋_GB2312"/>
          <w:b/>
          <w:bCs/>
          <w:color w:val="auto"/>
          <w:sz w:val="32"/>
          <w:szCs w:val="32"/>
          <w:u w:val="none"/>
          <w:lang w:val="en-US" w:eastAsia="zh-CN"/>
        </w:rPr>
        <w:t>（申请情形/上市后GMP符合性检查）</w:t>
      </w:r>
      <w:r>
        <w:rPr>
          <w:rFonts w:hint="eastAsia" w:ascii="仿宋_GB2312" w:hAnsi="仿宋_GB2312" w:eastAsia="仿宋_GB2312" w:cs="仿宋_GB2312"/>
          <w:b w:val="0"/>
          <w:bCs w:val="0"/>
          <w:color w:val="auto"/>
          <w:sz w:val="32"/>
          <w:szCs w:val="32"/>
          <w:u w:val="none"/>
          <w:lang w:val="en-US" w:eastAsia="zh-CN"/>
        </w:rPr>
        <w:t>已取得药品上市许可且符合下列情形之一的，持有药品生产许可证的持有人、生产企业应当按照《药品生产监督管理办法》第十六条和第十九条、《药品上市后变更办法（试行）》第八条和第十四条、《药品检查管理办法（试行）》第三十四条、</w:t>
      </w:r>
      <w:r>
        <w:rPr>
          <w:rFonts w:hint="eastAsia" w:ascii="仿宋_GB2312" w:hAnsi="仿宋_GB2312" w:eastAsia="仿宋_GB2312" w:cs="仿宋_GB2312"/>
          <w:b w:val="0"/>
          <w:bCs w:val="0"/>
          <w:color w:val="auto"/>
          <w:sz w:val="32"/>
          <w:szCs w:val="32"/>
          <w:u w:val="none"/>
          <w:lang w:eastAsia="zh-CN"/>
        </w:rPr>
        <w:t>《</w:t>
      </w:r>
      <w:r>
        <w:rPr>
          <w:rFonts w:hint="eastAsia" w:ascii="仿宋_GB2312" w:hAnsi="仿宋_GB2312" w:eastAsia="仿宋_GB2312" w:cs="仿宋_GB2312"/>
          <w:b w:val="0"/>
          <w:bCs w:val="0"/>
          <w:color w:val="auto"/>
          <w:sz w:val="32"/>
          <w:szCs w:val="32"/>
          <w:u w:val="none"/>
        </w:rPr>
        <w:t>国家药监局关于实施新修订&lt;药品生产监督管理办法&gt;有关事项的公告(2020年第47号)</w:t>
      </w:r>
      <w:r>
        <w:rPr>
          <w:rFonts w:hint="eastAsia" w:ascii="仿宋_GB2312" w:hAnsi="仿宋_GB2312" w:eastAsia="仿宋_GB2312" w:cs="仿宋_GB2312"/>
          <w:b w:val="0"/>
          <w:bCs w:val="0"/>
          <w:color w:val="auto"/>
          <w:sz w:val="32"/>
          <w:szCs w:val="32"/>
          <w:u w:val="none"/>
          <w:lang w:eastAsia="zh-CN"/>
        </w:rPr>
        <w:t>》</w:t>
      </w:r>
      <w:r>
        <w:rPr>
          <w:rFonts w:hint="eastAsia" w:ascii="仿宋_GB2312" w:hAnsi="仿宋_GB2312" w:eastAsia="仿宋_GB2312" w:cs="仿宋_GB2312"/>
          <w:b w:val="0"/>
          <w:bCs w:val="0"/>
          <w:color w:val="auto"/>
          <w:sz w:val="32"/>
          <w:szCs w:val="32"/>
          <w:u w:val="none"/>
          <w:lang w:val="en-US" w:eastAsia="zh-CN"/>
        </w:rPr>
        <w:t>等规定，依法申请并配合开展上市后的GMP符合性检查：</w:t>
      </w:r>
    </w:p>
    <w:p>
      <w:pPr>
        <w:keepNext w:val="0"/>
        <w:keepLines w:val="0"/>
        <w:pageBreakBefore w:val="0"/>
        <w:widowControl w:val="0"/>
        <w:numPr>
          <w:ilvl w:val="0"/>
          <w:numId w:val="0"/>
        </w:numPr>
        <w:suppressLineNumbers w:val="0"/>
        <w:kinsoku/>
        <w:overflowPunct/>
        <w:topLinePunct w:val="0"/>
        <w:autoSpaceDE/>
        <w:autoSpaceDN/>
        <w:bidi w:val="0"/>
        <w:adjustRightInd w:val="0"/>
        <w:snapToGrid w:val="0"/>
        <w:spacing w:before="0" w:beforeAutospacing="0" w:afterAutospacing="0" w:line="590" w:lineRule="exact"/>
        <w:ind w:leftChars="0" w:right="0" w:rightChars="0" w:firstLine="640" w:firstLineChars="200"/>
        <w:jc w:val="both"/>
        <w:textAlignment w:val="auto"/>
        <w:rPr>
          <w:rFonts w:hint="eastAsia" w:ascii="仿宋_GB2312" w:hAnsi="仿宋_GB2312" w:eastAsia="仿宋_GB2312" w:cs="仿宋_GB2312"/>
          <w:b w:val="0"/>
          <w:bCs w:val="0"/>
          <w:color w:val="auto"/>
          <w:sz w:val="32"/>
          <w:szCs w:val="32"/>
          <w:u w:val="none"/>
          <w:lang w:val="en-US" w:eastAsia="zh-CN"/>
        </w:rPr>
      </w:pPr>
      <w:r>
        <w:rPr>
          <w:rFonts w:hint="eastAsia" w:ascii="仿宋_GB2312" w:hAnsi="仿宋_GB2312" w:eastAsia="仿宋_GB2312" w:cs="仿宋_GB2312"/>
          <w:b w:val="0"/>
          <w:bCs w:val="0"/>
          <w:color w:val="auto"/>
          <w:sz w:val="32"/>
          <w:szCs w:val="32"/>
          <w:u w:val="none"/>
          <w:lang w:val="en-US" w:eastAsia="zh-CN"/>
        </w:rPr>
        <w:t>（一）</w:t>
      </w:r>
      <w:r>
        <w:rPr>
          <w:rFonts w:hint="default" w:ascii="仿宋_GB2312" w:hAnsi="仿宋_GB2312" w:eastAsia="仿宋_GB2312" w:cs="仿宋_GB2312"/>
          <w:b w:val="0"/>
          <w:bCs w:val="0"/>
          <w:color w:val="auto"/>
          <w:sz w:val="32"/>
          <w:szCs w:val="32"/>
          <w:u w:val="none"/>
          <w:lang w:val="en-US" w:eastAsia="zh-CN"/>
        </w:rPr>
        <w:t>原址或者异地新建、改建、扩建车间或者生产线，</w:t>
      </w:r>
      <w:r>
        <w:rPr>
          <w:rFonts w:hint="eastAsia" w:ascii="仿宋_GB2312" w:hAnsi="仿宋_GB2312" w:eastAsia="仿宋_GB2312" w:cs="仿宋_GB2312"/>
          <w:b w:val="0"/>
          <w:bCs w:val="0"/>
          <w:color w:val="auto"/>
          <w:sz w:val="32"/>
          <w:szCs w:val="32"/>
          <w:u w:val="none"/>
          <w:lang w:val="en-US" w:eastAsia="zh-CN"/>
        </w:rPr>
        <w:t>涉及《药品生产许可证》许可事项变更、药品注册证书及其附件载明内容发生重大或中等变更，需要分别或合并进行药品生产许可相关检查、变更相关检查、GMP符合性检查的；</w:t>
      </w:r>
    </w:p>
    <w:p>
      <w:pPr>
        <w:keepNext w:val="0"/>
        <w:keepLines w:val="0"/>
        <w:pageBreakBefore w:val="0"/>
        <w:widowControl w:val="0"/>
        <w:numPr>
          <w:ilvl w:val="0"/>
          <w:numId w:val="0"/>
        </w:numPr>
        <w:suppressLineNumbers w:val="0"/>
        <w:kinsoku/>
        <w:overflowPunct/>
        <w:topLinePunct w:val="0"/>
        <w:autoSpaceDE/>
        <w:autoSpaceDN/>
        <w:bidi w:val="0"/>
        <w:adjustRightInd w:val="0"/>
        <w:snapToGrid w:val="0"/>
        <w:spacing w:before="0" w:beforeAutospacing="0" w:afterAutospacing="0" w:line="590" w:lineRule="exact"/>
        <w:ind w:leftChars="0" w:right="0" w:rightChars="0" w:firstLine="640" w:firstLineChars="200"/>
        <w:jc w:val="both"/>
        <w:textAlignment w:val="auto"/>
        <w:rPr>
          <w:rFonts w:hint="eastAsia" w:ascii="仿宋_GB2312" w:hAnsi="仿宋_GB2312" w:eastAsia="仿宋_GB2312" w:cs="仿宋_GB2312"/>
          <w:b w:val="0"/>
          <w:bCs w:val="0"/>
          <w:color w:val="auto"/>
          <w:sz w:val="32"/>
          <w:szCs w:val="32"/>
          <w:u w:val="none"/>
          <w:lang w:val="en-US" w:eastAsia="zh-CN"/>
        </w:rPr>
      </w:pPr>
      <w:r>
        <w:rPr>
          <w:rFonts w:hint="eastAsia" w:ascii="仿宋_GB2312" w:hAnsi="仿宋_GB2312" w:eastAsia="仿宋_GB2312" w:cs="仿宋_GB2312"/>
          <w:b w:val="0"/>
          <w:bCs w:val="0"/>
          <w:color w:val="auto"/>
          <w:sz w:val="32"/>
          <w:szCs w:val="32"/>
          <w:u w:val="none"/>
          <w:lang w:val="en-US" w:eastAsia="zh-CN"/>
        </w:rPr>
        <w:t>（二）申请重新发放《药品生产许可证》时，依据风险管理原则需要再次申请检查的；</w:t>
      </w:r>
    </w:p>
    <w:p>
      <w:pPr>
        <w:keepNext w:val="0"/>
        <w:keepLines w:val="0"/>
        <w:pageBreakBefore w:val="0"/>
        <w:widowControl w:val="0"/>
        <w:numPr>
          <w:ilvl w:val="0"/>
          <w:numId w:val="0"/>
        </w:numPr>
        <w:suppressLineNumbers w:val="0"/>
        <w:kinsoku/>
        <w:overflowPunct/>
        <w:topLinePunct w:val="0"/>
        <w:autoSpaceDE/>
        <w:autoSpaceDN/>
        <w:bidi w:val="0"/>
        <w:adjustRightInd w:val="0"/>
        <w:snapToGrid w:val="0"/>
        <w:spacing w:before="0" w:beforeAutospacing="0" w:afterAutospacing="0" w:line="590" w:lineRule="exact"/>
        <w:ind w:right="0" w:rightChars="0" w:firstLine="640" w:firstLineChars="200"/>
        <w:jc w:val="both"/>
        <w:textAlignment w:val="auto"/>
        <w:rPr>
          <w:rFonts w:hint="eastAsia" w:ascii="仿宋_GB2312" w:hAnsi="Times New Roman" w:eastAsia="仿宋_GB2312" w:cs="仿宋_GB2312"/>
          <w:color w:val="auto"/>
          <w:kern w:val="2"/>
          <w:sz w:val="32"/>
          <w:szCs w:val="32"/>
          <w:u w:val="none"/>
          <w:lang w:val="en-US" w:eastAsia="zh-CN"/>
        </w:rPr>
      </w:pPr>
      <w:r>
        <w:rPr>
          <w:rFonts w:hint="eastAsia" w:ascii="仿宋_GB2312" w:hAnsi="仿宋_GB2312" w:eastAsia="仿宋_GB2312" w:cs="仿宋_GB2312"/>
          <w:b w:val="0"/>
          <w:bCs w:val="0"/>
          <w:color w:val="auto"/>
          <w:sz w:val="32"/>
          <w:szCs w:val="32"/>
          <w:u w:val="none"/>
          <w:lang w:val="en-US" w:eastAsia="zh-CN"/>
        </w:rPr>
        <w:t>（三）持有人主体变更后获得某剂型首个品种，相应剂型（生产车间/生产线）未通过检查</w:t>
      </w:r>
      <w:r>
        <w:rPr>
          <w:rFonts w:hint="eastAsia" w:ascii="仿宋_GB2312" w:hAnsi="Times New Roman" w:eastAsia="仿宋_GB2312" w:cs="仿宋_GB2312"/>
          <w:color w:val="auto"/>
          <w:kern w:val="2"/>
          <w:sz w:val="32"/>
          <w:szCs w:val="32"/>
          <w:u w:val="none"/>
          <w:lang w:val="en-US" w:eastAsia="zh-CN"/>
        </w:rPr>
        <w:t>或通过已超本程序第二十二条规定年限，需要再次申请检查的。</w:t>
      </w:r>
    </w:p>
    <w:p>
      <w:pPr>
        <w:keepNext w:val="0"/>
        <w:keepLines w:val="0"/>
        <w:pageBreakBefore w:val="0"/>
        <w:widowControl w:val="0"/>
        <w:numPr>
          <w:ilvl w:val="0"/>
          <w:numId w:val="0"/>
        </w:numPr>
        <w:suppressLineNumbers w:val="0"/>
        <w:kinsoku/>
        <w:overflowPunct/>
        <w:topLinePunct w:val="0"/>
        <w:autoSpaceDE/>
        <w:autoSpaceDN/>
        <w:bidi w:val="0"/>
        <w:adjustRightInd w:val="0"/>
        <w:snapToGrid w:val="0"/>
        <w:spacing w:before="0" w:beforeAutospacing="0" w:afterAutospacing="0" w:line="590" w:lineRule="exact"/>
        <w:ind w:leftChars="0" w:right="0" w:rightChars="0" w:firstLine="640" w:firstLineChars="200"/>
        <w:jc w:val="both"/>
        <w:textAlignment w:val="auto"/>
        <w:rPr>
          <w:rFonts w:hint="eastAsia" w:ascii="仿宋_GB2312" w:hAnsi="仿宋_GB2312" w:eastAsia="仿宋_GB2312" w:cs="仿宋_GB2312"/>
          <w:b w:val="0"/>
          <w:bCs w:val="0"/>
          <w:color w:val="auto"/>
          <w:sz w:val="32"/>
          <w:szCs w:val="32"/>
          <w:u w:val="none"/>
          <w:lang w:val="en-US" w:eastAsia="zh-CN"/>
        </w:rPr>
      </w:pPr>
      <w:r>
        <w:rPr>
          <w:rFonts w:hint="eastAsia" w:ascii="仿宋_GB2312" w:hAnsi="仿宋_GB2312" w:eastAsia="仿宋_GB2312" w:cs="仿宋_GB2312"/>
          <w:b w:val="0"/>
          <w:bCs w:val="0"/>
          <w:color w:val="auto"/>
          <w:sz w:val="32"/>
          <w:szCs w:val="32"/>
          <w:u w:val="none"/>
          <w:lang w:val="en-US" w:eastAsia="zh-CN"/>
        </w:rPr>
        <w:t>（四）因主动停产、被监管部门采取停止生产风险控制措施、被责令停产停业后拟恢复生产，须申请检查且符合要求后方可恢复生产的；</w:t>
      </w:r>
    </w:p>
    <w:p>
      <w:pPr>
        <w:keepNext w:val="0"/>
        <w:keepLines w:val="0"/>
        <w:pageBreakBefore w:val="0"/>
        <w:numPr>
          <w:ilvl w:val="0"/>
          <w:numId w:val="0"/>
        </w:numPr>
        <w:kinsoku/>
        <w:overflowPunct/>
        <w:topLinePunct w:val="0"/>
        <w:autoSpaceDE/>
        <w:autoSpaceDN/>
        <w:bidi w:val="0"/>
        <w:adjustRightInd w:val="0"/>
        <w:snapToGrid w:val="0"/>
        <w:spacing w:line="590" w:lineRule="exact"/>
        <w:ind w:firstLine="640" w:firstLineChars="200"/>
        <w:jc w:val="both"/>
        <w:textAlignment w:val="auto"/>
        <w:rPr>
          <w:rFonts w:hint="eastAsia" w:ascii="仿宋_GB2312" w:hAnsi="仿宋_GB2312" w:eastAsia="仿宋_GB2312" w:cs="仿宋_GB2312"/>
          <w:b w:val="0"/>
          <w:bCs w:val="0"/>
          <w:color w:val="auto"/>
          <w:sz w:val="32"/>
          <w:szCs w:val="32"/>
          <w:u w:val="none"/>
          <w:lang w:val="en-US" w:eastAsia="zh-CN"/>
        </w:rPr>
      </w:pPr>
      <w:r>
        <w:rPr>
          <w:rFonts w:hint="eastAsia" w:ascii="仿宋_GB2312" w:hAnsi="仿宋_GB2312" w:eastAsia="仿宋_GB2312" w:cs="仿宋_GB2312"/>
          <w:b w:val="0"/>
          <w:bCs w:val="0"/>
          <w:color w:val="auto"/>
          <w:sz w:val="32"/>
          <w:szCs w:val="32"/>
          <w:u w:val="none"/>
          <w:lang w:val="en-US" w:eastAsia="zh-CN"/>
        </w:rPr>
        <w:t>（五）申请出口欧盟原料药证明文件需要检查的；</w:t>
      </w:r>
    </w:p>
    <w:p>
      <w:pPr>
        <w:keepNext w:val="0"/>
        <w:keepLines w:val="0"/>
        <w:pageBreakBefore w:val="0"/>
        <w:numPr>
          <w:ilvl w:val="0"/>
          <w:numId w:val="0"/>
        </w:numPr>
        <w:kinsoku/>
        <w:overflowPunct/>
        <w:topLinePunct w:val="0"/>
        <w:autoSpaceDE/>
        <w:autoSpaceDN/>
        <w:bidi w:val="0"/>
        <w:adjustRightInd w:val="0"/>
        <w:snapToGrid w:val="0"/>
        <w:spacing w:line="590" w:lineRule="exact"/>
        <w:ind w:firstLine="640" w:firstLineChars="200"/>
        <w:jc w:val="both"/>
        <w:textAlignment w:val="auto"/>
        <w:rPr>
          <w:rFonts w:hint="default" w:ascii="仿宋_GB2312" w:hAnsi="仿宋_GB2312" w:eastAsia="仿宋_GB2312" w:cs="仿宋_GB2312"/>
          <w:b w:val="0"/>
          <w:bCs w:val="0"/>
          <w:color w:val="auto"/>
          <w:sz w:val="32"/>
          <w:szCs w:val="32"/>
          <w:u w:val="none"/>
          <w:lang w:val="en-US" w:eastAsia="zh-CN"/>
        </w:rPr>
      </w:pPr>
      <w:r>
        <w:rPr>
          <w:rFonts w:hint="eastAsia" w:ascii="仿宋_GB2312" w:hAnsi="仿宋_GB2312" w:eastAsia="仿宋_GB2312" w:cs="仿宋_GB2312"/>
          <w:b w:val="0"/>
          <w:bCs w:val="0"/>
          <w:color w:val="auto"/>
          <w:sz w:val="32"/>
          <w:szCs w:val="32"/>
          <w:u w:val="none"/>
          <w:lang w:val="en-US" w:eastAsia="zh-CN"/>
        </w:rPr>
        <w:t>（六）其他依据风险管理原则，监管部门认为需要申请检查的。</w:t>
      </w:r>
    </w:p>
    <w:p>
      <w:pPr>
        <w:keepNext w:val="0"/>
        <w:keepLines w:val="0"/>
        <w:pageBreakBefore w:val="0"/>
        <w:widowControl w:val="0"/>
        <w:numPr>
          <w:ilvl w:val="0"/>
          <w:numId w:val="0"/>
        </w:numPr>
        <w:suppressLineNumbers w:val="0"/>
        <w:kinsoku/>
        <w:overflowPunct/>
        <w:topLinePunct w:val="0"/>
        <w:autoSpaceDE/>
        <w:autoSpaceDN/>
        <w:bidi w:val="0"/>
        <w:adjustRightInd w:val="0"/>
        <w:snapToGrid w:val="0"/>
        <w:spacing w:before="0" w:beforeAutospacing="0" w:afterAutospacing="0" w:line="590" w:lineRule="exact"/>
        <w:ind w:right="0" w:rightChars="0"/>
        <w:jc w:val="center"/>
        <w:textAlignment w:val="auto"/>
        <w:rPr>
          <w:rFonts w:hint="eastAsia" w:ascii="仿宋_GB2312" w:hAnsi="Times New Roman" w:eastAsia="仿宋_GB2312" w:cs="仿宋_GB2312"/>
          <w:color w:val="auto"/>
          <w:kern w:val="2"/>
          <w:sz w:val="32"/>
          <w:szCs w:val="32"/>
          <w:u w:val="none"/>
          <w:lang w:val="en-US" w:eastAsia="zh-CN"/>
        </w:rPr>
      </w:pPr>
      <w:r>
        <w:rPr>
          <w:rFonts w:hint="eastAsia" w:ascii="黑体" w:hAnsi="黑体" w:eastAsia="黑体" w:cs="黑体"/>
          <w:b w:val="0"/>
          <w:bCs w:val="0"/>
          <w:color w:val="auto"/>
          <w:sz w:val="32"/>
          <w:szCs w:val="32"/>
          <w:u w:val="none"/>
          <w:lang w:val="en-US" w:eastAsia="zh-CN"/>
        </w:rPr>
        <w:t>第二节  申请程序</w:t>
      </w:r>
    </w:p>
    <w:p>
      <w:pPr>
        <w:keepNext w:val="0"/>
        <w:keepLines w:val="0"/>
        <w:pageBreakBefore w:val="0"/>
        <w:widowControl w:val="0"/>
        <w:numPr>
          <w:ilvl w:val="0"/>
          <w:numId w:val="0"/>
        </w:numPr>
        <w:suppressLineNumbers w:val="0"/>
        <w:kinsoku/>
        <w:overflowPunct/>
        <w:topLinePunct w:val="0"/>
        <w:autoSpaceDE/>
        <w:autoSpaceDN/>
        <w:bidi w:val="0"/>
        <w:adjustRightInd w:val="0"/>
        <w:snapToGrid w:val="0"/>
        <w:spacing w:before="0" w:beforeAutospacing="0" w:afterAutospacing="0" w:line="590" w:lineRule="exact"/>
        <w:ind w:right="0" w:rightChars="0" w:firstLine="640" w:firstLineChars="200"/>
        <w:jc w:val="both"/>
        <w:textAlignment w:val="auto"/>
        <w:rPr>
          <w:rFonts w:hint="eastAsia" w:ascii="仿宋_GB2312" w:hAnsi="Times New Roman" w:eastAsia="仿宋_GB2312" w:cs="仿宋_GB2312"/>
          <w:b/>
          <w:bCs/>
          <w:color w:val="auto"/>
          <w:kern w:val="2"/>
          <w:sz w:val="32"/>
          <w:szCs w:val="32"/>
          <w:u w:val="none"/>
          <w:lang w:val="en-US" w:eastAsia="zh-CN"/>
        </w:rPr>
      </w:pPr>
      <w:r>
        <w:rPr>
          <w:rFonts w:hint="eastAsia" w:ascii="仿宋_GB2312" w:hAnsi="Times New Roman" w:eastAsia="仿宋_GB2312" w:cs="仿宋_GB2312"/>
          <w:b/>
          <w:bCs/>
          <w:color w:val="auto"/>
          <w:kern w:val="2"/>
          <w:sz w:val="32"/>
          <w:szCs w:val="32"/>
          <w:u w:val="none"/>
          <w:lang w:val="en-US" w:eastAsia="zh-CN"/>
        </w:rPr>
        <w:t>第七条（申请材料）</w:t>
      </w:r>
      <w:r>
        <w:rPr>
          <w:rFonts w:hint="eastAsia" w:ascii="仿宋_GB2312" w:hAnsi="Times New Roman" w:eastAsia="仿宋_GB2312" w:cs="仿宋_GB2312"/>
          <w:color w:val="auto"/>
          <w:kern w:val="2"/>
          <w:sz w:val="32"/>
          <w:szCs w:val="32"/>
          <w:u w:val="none"/>
          <w:lang w:val="en-US" w:eastAsia="zh-CN"/>
        </w:rPr>
        <w:t xml:space="preserve">申请人/持有人、生产企业（以下简称检查申请人）应当依据《国家药监局关于实施新修订《药品生产监督管理办法》有关事项的公告(2020年第47号)》向核查中心提交《药品生产质量管理规范符合性检查申请表》和申请材料。  </w:t>
      </w:r>
    </w:p>
    <w:p>
      <w:pPr>
        <w:keepNext w:val="0"/>
        <w:keepLines w:val="0"/>
        <w:pageBreakBefore w:val="0"/>
        <w:widowControl w:val="0"/>
        <w:numPr>
          <w:ilvl w:val="0"/>
          <w:numId w:val="0"/>
        </w:numPr>
        <w:suppressLineNumbers w:val="0"/>
        <w:kinsoku/>
        <w:overflowPunct/>
        <w:topLinePunct w:val="0"/>
        <w:autoSpaceDE/>
        <w:autoSpaceDN/>
        <w:bidi w:val="0"/>
        <w:adjustRightInd w:val="0"/>
        <w:snapToGrid w:val="0"/>
        <w:spacing w:before="0" w:beforeAutospacing="0" w:afterAutospacing="0" w:line="590" w:lineRule="exact"/>
        <w:ind w:right="0" w:rightChars="0" w:firstLine="640" w:firstLineChars="200"/>
        <w:jc w:val="both"/>
        <w:textAlignment w:val="auto"/>
        <w:rPr>
          <w:rFonts w:hint="eastAsia" w:ascii="仿宋_GB2312" w:hAnsi="Times New Roman" w:eastAsia="仿宋_GB2312" w:cs="仿宋_GB2312"/>
          <w:color w:val="auto"/>
          <w:kern w:val="2"/>
          <w:sz w:val="32"/>
          <w:szCs w:val="32"/>
          <w:u w:val="none"/>
          <w:lang w:val="en-US" w:eastAsia="zh-CN"/>
        </w:rPr>
      </w:pPr>
      <w:r>
        <w:rPr>
          <w:rFonts w:hint="eastAsia" w:ascii="仿宋_GB2312" w:hAnsi="Times New Roman" w:eastAsia="仿宋_GB2312" w:cs="仿宋_GB2312"/>
          <w:b/>
          <w:bCs/>
          <w:color w:val="auto"/>
          <w:kern w:val="2"/>
          <w:sz w:val="32"/>
          <w:szCs w:val="32"/>
          <w:u w:val="none"/>
          <w:lang w:val="en-US" w:eastAsia="zh-CN"/>
        </w:rPr>
        <w:t>第八条（申请要求）</w:t>
      </w:r>
      <w:r>
        <w:rPr>
          <w:rFonts w:hint="eastAsia" w:ascii="仿宋_GB2312" w:hAnsi="Times New Roman" w:eastAsia="仿宋_GB2312" w:cs="仿宋_GB2312"/>
          <w:color w:val="auto"/>
          <w:kern w:val="2"/>
          <w:sz w:val="32"/>
          <w:szCs w:val="32"/>
          <w:u w:val="none"/>
          <w:lang w:val="en-US" w:eastAsia="zh-CN"/>
        </w:rPr>
        <w:t>自行生产药品的，申请人/持有人独立提交GMP符合性检查申请。</w:t>
      </w:r>
    </w:p>
    <w:p>
      <w:pPr>
        <w:keepNext w:val="0"/>
        <w:keepLines w:val="0"/>
        <w:pageBreakBefore w:val="0"/>
        <w:widowControl w:val="0"/>
        <w:numPr>
          <w:ilvl w:val="0"/>
          <w:numId w:val="0"/>
        </w:numPr>
        <w:suppressLineNumbers w:val="0"/>
        <w:kinsoku/>
        <w:overflowPunct/>
        <w:topLinePunct w:val="0"/>
        <w:autoSpaceDE/>
        <w:autoSpaceDN/>
        <w:bidi w:val="0"/>
        <w:adjustRightInd w:val="0"/>
        <w:snapToGrid w:val="0"/>
        <w:spacing w:before="0" w:beforeAutospacing="0" w:afterAutospacing="0" w:line="590" w:lineRule="exact"/>
        <w:ind w:right="0" w:rightChars="0" w:firstLine="640" w:firstLineChars="200"/>
        <w:jc w:val="both"/>
        <w:textAlignment w:val="auto"/>
        <w:rPr>
          <w:rFonts w:hint="eastAsia" w:ascii="仿宋_GB2312" w:hAnsi="Times New Roman" w:eastAsia="仿宋_GB2312" w:cs="仿宋_GB2312"/>
          <w:color w:val="auto"/>
          <w:kern w:val="2"/>
          <w:sz w:val="32"/>
          <w:szCs w:val="32"/>
          <w:u w:val="none"/>
          <w:lang w:val="en-US" w:eastAsia="zh-CN"/>
        </w:rPr>
      </w:pPr>
      <w:r>
        <w:rPr>
          <w:rFonts w:hint="eastAsia" w:ascii="仿宋_GB2312" w:hAnsi="Times New Roman" w:eastAsia="仿宋_GB2312" w:cs="仿宋_GB2312"/>
          <w:color w:val="auto"/>
          <w:kern w:val="2"/>
          <w:sz w:val="32"/>
          <w:szCs w:val="32"/>
          <w:u w:val="none"/>
          <w:lang w:eastAsia="zh-CN"/>
        </w:rPr>
        <w:t>需同步进行药品注册现场核查和</w:t>
      </w:r>
      <w:r>
        <w:rPr>
          <w:rFonts w:hint="eastAsia" w:ascii="仿宋_GB2312" w:hAnsi="Times New Roman" w:eastAsia="仿宋_GB2312" w:cs="仿宋_GB2312"/>
          <w:color w:val="auto"/>
          <w:kern w:val="2"/>
          <w:sz w:val="32"/>
          <w:szCs w:val="32"/>
          <w:u w:val="none"/>
        </w:rPr>
        <w:t>上市前</w:t>
      </w:r>
      <w:r>
        <w:rPr>
          <w:rFonts w:hint="eastAsia" w:ascii="仿宋_GB2312" w:hAnsi="Times New Roman" w:eastAsia="仿宋_GB2312" w:cs="仿宋_GB2312"/>
          <w:color w:val="auto"/>
          <w:kern w:val="2"/>
          <w:sz w:val="32"/>
          <w:szCs w:val="32"/>
          <w:u w:val="none"/>
          <w:lang w:val="en-US" w:eastAsia="zh-CN"/>
        </w:rPr>
        <w:t>GMP符合性</w:t>
      </w:r>
      <w:r>
        <w:rPr>
          <w:rFonts w:hint="eastAsia" w:ascii="仿宋_GB2312" w:hAnsi="Times New Roman" w:eastAsia="仿宋_GB2312" w:cs="仿宋_GB2312"/>
          <w:color w:val="auto"/>
          <w:kern w:val="2"/>
          <w:sz w:val="32"/>
          <w:szCs w:val="32"/>
          <w:u w:val="none"/>
        </w:rPr>
        <w:t>检查</w:t>
      </w:r>
      <w:r>
        <w:rPr>
          <w:rFonts w:hint="eastAsia" w:ascii="仿宋_GB2312" w:hAnsi="Times New Roman" w:eastAsia="仿宋_GB2312" w:cs="仿宋_GB2312"/>
          <w:color w:val="auto"/>
          <w:kern w:val="2"/>
          <w:sz w:val="32"/>
          <w:szCs w:val="32"/>
          <w:u w:val="none"/>
          <w:lang w:eastAsia="zh-CN"/>
        </w:rPr>
        <w:t>的，持有人、药品生产企业应当按本程序规定提出</w:t>
      </w:r>
      <w:r>
        <w:rPr>
          <w:rFonts w:hint="eastAsia" w:ascii="仿宋_GB2312" w:hAnsi="Times New Roman" w:eastAsia="仿宋_GB2312" w:cs="仿宋_GB2312"/>
          <w:color w:val="auto"/>
          <w:kern w:val="2"/>
          <w:sz w:val="32"/>
          <w:szCs w:val="32"/>
          <w:u w:val="none"/>
        </w:rPr>
        <w:t>上市前</w:t>
      </w:r>
      <w:r>
        <w:rPr>
          <w:rFonts w:hint="eastAsia" w:ascii="仿宋_GB2312" w:hAnsi="Times New Roman" w:eastAsia="仿宋_GB2312" w:cs="仿宋_GB2312"/>
          <w:color w:val="auto"/>
          <w:kern w:val="2"/>
          <w:sz w:val="32"/>
          <w:szCs w:val="32"/>
          <w:u w:val="none"/>
          <w:lang w:eastAsia="zh-CN"/>
        </w:rPr>
        <w:t>的</w:t>
      </w:r>
      <w:r>
        <w:rPr>
          <w:rFonts w:hint="eastAsia" w:ascii="仿宋_GB2312" w:hAnsi="Times New Roman" w:eastAsia="仿宋_GB2312" w:cs="仿宋_GB2312"/>
          <w:color w:val="auto"/>
          <w:kern w:val="2"/>
          <w:sz w:val="32"/>
          <w:szCs w:val="32"/>
          <w:u w:val="none"/>
          <w:lang w:val="en-US" w:eastAsia="zh-CN"/>
        </w:rPr>
        <w:t>GMP符合性</w:t>
      </w:r>
      <w:r>
        <w:rPr>
          <w:rFonts w:hint="eastAsia" w:ascii="仿宋_GB2312" w:hAnsi="Times New Roman" w:eastAsia="仿宋_GB2312" w:cs="仿宋_GB2312"/>
          <w:color w:val="auto"/>
          <w:kern w:val="2"/>
          <w:sz w:val="32"/>
          <w:szCs w:val="32"/>
          <w:u w:val="none"/>
        </w:rPr>
        <w:t>检查</w:t>
      </w:r>
      <w:r>
        <w:rPr>
          <w:rFonts w:hint="eastAsia" w:ascii="仿宋_GB2312" w:hAnsi="Times New Roman" w:eastAsia="仿宋_GB2312" w:cs="仿宋_GB2312"/>
          <w:color w:val="auto"/>
          <w:kern w:val="2"/>
          <w:sz w:val="32"/>
          <w:szCs w:val="32"/>
          <w:u w:val="none"/>
          <w:lang w:eastAsia="zh-CN"/>
        </w:rPr>
        <w:t>申请。未收到</w:t>
      </w:r>
      <w:r>
        <w:rPr>
          <w:rFonts w:hint="default" w:ascii="仿宋_GB2312" w:hAnsi="Times New Roman" w:eastAsia="仿宋_GB2312" w:cs="仿宋_GB2312"/>
          <w:color w:val="auto"/>
          <w:kern w:val="2"/>
          <w:sz w:val="32"/>
          <w:szCs w:val="32"/>
          <w:u w:val="none"/>
          <w:lang w:val="en-US" w:eastAsia="zh-CN"/>
        </w:rPr>
        <w:t>药品注册现场核查</w:t>
      </w:r>
      <w:r>
        <w:rPr>
          <w:rFonts w:hint="eastAsia" w:ascii="仿宋_GB2312" w:hAnsi="Times New Roman" w:eastAsia="仿宋_GB2312" w:cs="仿宋_GB2312"/>
          <w:color w:val="auto"/>
          <w:kern w:val="2"/>
          <w:sz w:val="32"/>
          <w:szCs w:val="32"/>
          <w:u w:val="none"/>
          <w:lang w:val="en-US" w:eastAsia="zh-CN"/>
        </w:rPr>
        <w:t>通知的，宜按本程序第三十二条规定与核查中心沟通，适时申请</w:t>
      </w:r>
      <w:r>
        <w:rPr>
          <w:rFonts w:hint="default" w:ascii="仿宋_GB2312" w:hAnsi="Times New Roman" w:eastAsia="仿宋_GB2312" w:cs="仿宋_GB2312"/>
          <w:color w:val="auto"/>
          <w:kern w:val="2"/>
          <w:sz w:val="32"/>
          <w:szCs w:val="32"/>
          <w:u w:val="none"/>
          <w:lang w:val="en-US" w:eastAsia="zh-CN"/>
        </w:rPr>
        <w:t>上市前</w:t>
      </w:r>
      <w:r>
        <w:rPr>
          <w:rFonts w:hint="eastAsia" w:ascii="仿宋_GB2312" w:hAnsi="Times New Roman" w:eastAsia="仿宋_GB2312" w:cs="仿宋_GB2312"/>
          <w:color w:val="auto"/>
          <w:kern w:val="2"/>
          <w:sz w:val="32"/>
          <w:szCs w:val="32"/>
          <w:u w:val="none"/>
          <w:lang w:val="en-US" w:eastAsia="zh-CN"/>
        </w:rPr>
        <w:t>的GMP符合性</w:t>
      </w:r>
      <w:r>
        <w:rPr>
          <w:rFonts w:hint="default" w:ascii="仿宋_GB2312" w:hAnsi="Times New Roman" w:eastAsia="仿宋_GB2312" w:cs="仿宋_GB2312"/>
          <w:color w:val="auto"/>
          <w:kern w:val="2"/>
          <w:sz w:val="32"/>
          <w:szCs w:val="32"/>
          <w:u w:val="none"/>
          <w:lang w:val="en-US" w:eastAsia="zh-CN"/>
        </w:rPr>
        <w:t>检查</w:t>
      </w:r>
      <w:r>
        <w:rPr>
          <w:rFonts w:hint="eastAsia" w:ascii="仿宋_GB2312" w:hAnsi="Times New Roman" w:eastAsia="仿宋_GB2312" w:cs="仿宋_GB2312"/>
          <w:color w:val="auto"/>
          <w:kern w:val="2"/>
          <w:sz w:val="32"/>
          <w:szCs w:val="32"/>
          <w:u w:val="none"/>
          <w:lang w:val="en-US" w:eastAsia="zh-CN"/>
        </w:rPr>
        <w:t>。</w:t>
      </w:r>
      <w:bookmarkStart w:id="0" w:name="_GoBack"/>
      <w:bookmarkEnd w:id="0"/>
    </w:p>
    <w:p>
      <w:pPr>
        <w:keepNext w:val="0"/>
        <w:keepLines w:val="0"/>
        <w:pageBreakBefore w:val="0"/>
        <w:widowControl w:val="0"/>
        <w:numPr>
          <w:ilvl w:val="-1"/>
          <w:numId w:val="0"/>
        </w:numPr>
        <w:suppressLineNumbers w:val="0"/>
        <w:kinsoku/>
        <w:overflowPunct/>
        <w:topLinePunct w:val="0"/>
        <w:autoSpaceDE/>
        <w:autoSpaceDN/>
        <w:bidi w:val="0"/>
        <w:adjustRightInd w:val="0"/>
        <w:snapToGrid w:val="0"/>
        <w:spacing w:before="0" w:beforeAutospacing="0" w:afterAutospacing="0" w:line="590" w:lineRule="exact"/>
        <w:ind w:left="0" w:leftChars="0" w:right="0" w:rightChars="0" w:firstLine="640" w:firstLineChars="200"/>
        <w:jc w:val="both"/>
        <w:textAlignment w:val="auto"/>
        <w:rPr>
          <w:rFonts w:hint="eastAsia" w:ascii="仿宋_GB2312" w:hAnsi="Times New Roman" w:eastAsia="仿宋_GB2312" w:cs="仿宋_GB2312"/>
          <w:color w:val="auto"/>
          <w:kern w:val="2"/>
          <w:sz w:val="32"/>
          <w:szCs w:val="32"/>
          <w:u w:val="none"/>
          <w:lang w:val="en-US" w:eastAsia="zh-CN"/>
        </w:rPr>
      </w:pPr>
      <w:r>
        <w:rPr>
          <w:rFonts w:hint="eastAsia" w:ascii="仿宋_GB2312" w:hAnsi="Times New Roman" w:eastAsia="仿宋_GB2312" w:cs="仿宋_GB2312"/>
          <w:color w:val="auto"/>
          <w:kern w:val="2"/>
          <w:sz w:val="32"/>
          <w:szCs w:val="32"/>
          <w:u w:val="none"/>
          <w:lang w:val="en-US" w:eastAsia="zh-CN"/>
        </w:rPr>
        <w:t>委托生产制剂等且双方均在省内的，申请人/持有人、受托生产企业同步提交申请，相互配合接受统一检查。</w:t>
      </w:r>
    </w:p>
    <w:p>
      <w:pPr>
        <w:keepNext w:val="0"/>
        <w:keepLines w:val="0"/>
        <w:pageBreakBefore w:val="0"/>
        <w:widowControl w:val="0"/>
        <w:numPr>
          <w:ilvl w:val="0"/>
          <w:numId w:val="0"/>
        </w:numPr>
        <w:suppressLineNumbers w:val="0"/>
        <w:kinsoku/>
        <w:overflowPunct/>
        <w:topLinePunct w:val="0"/>
        <w:autoSpaceDE/>
        <w:autoSpaceDN/>
        <w:bidi w:val="0"/>
        <w:adjustRightInd w:val="0"/>
        <w:snapToGrid w:val="0"/>
        <w:spacing w:before="0" w:beforeAutospacing="0" w:afterAutospacing="0" w:line="590" w:lineRule="exact"/>
        <w:ind w:right="0" w:rightChars="0" w:firstLine="640" w:firstLineChars="200"/>
        <w:jc w:val="both"/>
        <w:textAlignment w:val="auto"/>
        <w:rPr>
          <w:rFonts w:hint="eastAsia" w:ascii="仿宋_GB2312" w:hAnsi="Times New Roman" w:eastAsia="仿宋_GB2312" w:cs="仿宋_GB2312"/>
          <w:color w:val="auto"/>
          <w:kern w:val="2"/>
          <w:sz w:val="32"/>
          <w:szCs w:val="32"/>
          <w:u w:val="none"/>
          <w:lang w:val="en-US" w:eastAsia="zh-CN"/>
        </w:rPr>
      </w:pPr>
      <w:r>
        <w:rPr>
          <w:rFonts w:hint="eastAsia" w:ascii="仿宋_GB2312" w:hAnsi="Times New Roman" w:eastAsia="仿宋_GB2312" w:cs="仿宋_GB2312"/>
          <w:color w:val="auto"/>
          <w:kern w:val="2"/>
          <w:sz w:val="32"/>
          <w:szCs w:val="32"/>
          <w:u w:val="none"/>
          <w:lang w:val="en-US" w:eastAsia="zh-CN"/>
        </w:rPr>
        <w:t>委托生产制剂等且仅一方在省内的，由省内的一方申请GMP符合性检查。省内申请人/持有人需同时提交受托方相应剂型（车间/生产线）已通过GMP符合性检查证明性文件。省内受托生产企业应同时提交持有人委托生产的相关证明文件。</w:t>
      </w:r>
    </w:p>
    <w:p>
      <w:pPr>
        <w:keepNext w:val="0"/>
        <w:keepLines w:val="0"/>
        <w:pageBreakBefore w:val="0"/>
        <w:widowControl w:val="0"/>
        <w:numPr>
          <w:ilvl w:val="0"/>
          <w:numId w:val="0"/>
        </w:numPr>
        <w:suppressLineNumbers w:val="0"/>
        <w:kinsoku/>
        <w:overflowPunct/>
        <w:topLinePunct w:val="0"/>
        <w:autoSpaceDE/>
        <w:autoSpaceDN/>
        <w:bidi w:val="0"/>
        <w:adjustRightInd w:val="0"/>
        <w:snapToGrid w:val="0"/>
        <w:spacing w:before="0" w:beforeAutospacing="0" w:afterAutospacing="0" w:line="590" w:lineRule="exact"/>
        <w:ind w:right="0" w:rightChars="0" w:firstLine="640" w:firstLineChars="200"/>
        <w:jc w:val="both"/>
        <w:textAlignment w:val="auto"/>
        <w:rPr>
          <w:rFonts w:hint="eastAsia" w:ascii="方正仿宋_GBK" w:hAnsi="仿宋" w:eastAsia="方正仿宋_GBK" w:cs="Times New Roman"/>
          <w:color w:val="auto"/>
          <w:sz w:val="32"/>
          <w:szCs w:val="20"/>
          <w:u w:val="none"/>
          <w:lang w:bidi="ar"/>
        </w:rPr>
      </w:pPr>
      <w:r>
        <w:rPr>
          <w:rFonts w:hint="eastAsia" w:ascii="仿宋_GB2312" w:hAnsi="Times New Roman" w:eastAsia="仿宋_GB2312" w:cs="仿宋_GB2312"/>
          <w:b/>
          <w:bCs/>
          <w:color w:val="auto"/>
          <w:kern w:val="2"/>
          <w:sz w:val="32"/>
          <w:szCs w:val="32"/>
          <w:u w:val="none"/>
          <w:lang w:val="en-US" w:eastAsia="zh-CN"/>
        </w:rPr>
        <w:t>第九条（受理形式审查）</w:t>
      </w:r>
      <w:r>
        <w:rPr>
          <w:rFonts w:hint="eastAsia" w:ascii="仿宋_GB2312" w:hAnsi="Times New Roman" w:eastAsia="仿宋_GB2312" w:cs="仿宋_GB2312"/>
          <w:color w:val="auto"/>
          <w:kern w:val="2"/>
          <w:sz w:val="32"/>
          <w:szCs w:val="32"/>
          <w:u w:val="none"/>
          <w:lang w:val="en-US" w:eastAsia="zh-CN"/>
        </w:rPr>
        <w:t xml:space="preserve"> 核查</w:t>
      </w:r>
      <w:r>
        <w:rPr>
          <w:rFonts w:hint="eastAsia" w:ascii="仿宋_GB2312" w:hAnsi="Times New Roman" w:eastAsia="仿宋_GB2312" w:cs="仿宋_GB2312"/>
          <w:color w:val="auto"/>
          <w:kern w:val="2"/>
          <w:sz w:val="32"/>
          <w:szCs w:val="32"/>
          <w:u w:val="none"/>
          <w:lang w:eastAsia="zh-CN"/>
        </w:rPr>
        <w:t>中心应当自收到</w:t>
      </w:r>
      <w:r>
        <w:rPr>
          <w:rFonts w:hint="eastAsia" w:ascii="仿宋_GB2312" w:hAnsi="Times New Roman" w:eastAsia="仿宋_GB2312" w:cs="仿宋_GB2312"/>
          <w:color w:val="auto"/>
          <w:kern w:val="2"/>
          <w:sz w:val="32"/>
          <w:szCs w:val="32"/>
          <w:u w:val="none"/>
          <w:lang w:val="en-US" w:eastAsia="zh-CN"/>
        </w:rPr>
        <w:t>GMP符合性</w:t>
      </w:r>
      <w:r>
        <w:rPr>
          <w:rFonts w:hint="eastAsia" w:ascii="仿宋_GB2312" w:hAnsi="Times New Roman" w:eastAsia="仿宋_GB2312" w:cs="仿宋_GB2312"/>
          <w:color w:val="auto"/>
          <w:kern w:val="2"/>
          <w:sz w:val="32"/>
          <w:szCs w:val="32"/>
          <w:u w:val="none"/>
          <w:lang w:eastAsia="zh-CN"/>
        </w:rPr>
        <w:t>检查申请资料之日起5个工作日内完成申请资料的形式审查。</w:t>
      </w:r>
      <w:r>
        <w:rPr>
          <w:rFonts w:hint="default" w:ascii="仿宋_GB2312" w:hAnsi="Times New Roman" w:eastAsia="仿宋_GB2312" w:cs="仿宋_GB2312"/>
          <w:color w:val="auto"/>
          <w:kern w:val="2"/>
          <w:sz w:val="32"/>
          <w:szCs w:val="32"/>
          <w:u w:val="none"/>
          <w:lang w:val="en-US" w:eastAsia="zh-CN"/>
        </w:rPr>
        <w:t>申报资料不齐全或者不符合法定形式的，应当在</w:t>
      </w:r>
      <w:r>
        <w:rPr>
          <w:rFonts w:hint="eastAsia" w:ascii="仿宋_GB2312" w:hAnsi="Times New Roman" w:eastAsia="仿宋_GB2312" w:cs="仿宋_GB2312"/>
          <w:color w:val="auto"/>
          <w:kern w:val="2"/>
          <w:sz w:val="32"/>
          <w:szCs w:val="32"/>
          <w:u w:val="none"/>
          <w:lang w:val="en-US" w:eastAsia="zh-CN"/>
        </w:rPr>
        <w:t>5个工作</w:t>
      </w:r>
      <w:r>
        <w:rPr>
          <w:rFonts w:hint="default" w:ascii="仿宋_GB2312" w:hAnsi="Times New Roman" w:eastAsia="仿宋_GB2312" w:cs="仿宋_GB2312"/>
          <w:color w:val="auto"/>
          <w:kern w:val="2"/>
          <w:sz w:val="32"/>
          <w:szCs w:val="32"/>
          <w:u w:val="none"/>
          <w:lang w:val="en-US" w:eastAsia="zh-CN"/>
        </w:rPr>
        <w:t>日内一次</w:t>
      </w:r>
      <w:r>
        <w:rPr>
          <w:rFonts w:hint="eastAsia" w:ascii="仿宋_GB2312" w:hAnsi="Times New Roman" w:eastAsia="仿宋_GB2312" w:cs="仿宋_GB2312"/>
          <w:color w:val="auto"/>
          <w:kern w:val="2"/>
          <w:sz w:val="32"/>
          <w:szCs w:val="32"/>
          <w:u w:val="none"/>
          <w:lang w:val="en-US" w:eastAsia="zh-CN"/>
        </w:rPr>
        <w:t>性</w:t>
      </w:r>
      <w:r>
        <w:rPr>
          <w:rFonts w:hint="default" w:ascii="仿宋_GB2312" w:hAnsi="Times New Roman" w:eastAsia="仿宋_GB2312" w:cs="仿宋_GB2312"/>
          <w:color w:val="auto"/>
          <w:kern w:val="2"/>
          <w:sz w:val="32"/>
          <w:szCs w:val="32"/>
          <w:u w:val="none"/>
          <w:lang w:val="en-US" w:eastAsia="zh-CN"/>
        </w:rPr>
        <w:t>告知</w:t>
      </w:r>
      <w:r>
        <w:rPr>
          <w:rFonts w:hint="eastAsia" w:ascii="仿宋_GB2312" w:hAnsi="Times New Roman" w:eastAsia="仿宋_GB2312" w:cs="仿宋_GB2312"/>
          <w:color w:val="auto"/>
          <w:kern w:val="2"/>
          <w:sz w:val="32"/>
          <w:szCs w:val="32"/>
          <w:u w:val="none"/>
          <w:lang w:val="en-US" w:eastAsia="zh-CN"/>
        </w:rPr>
        <w:t>检查</w:t>
      </w:r>
      <w:r>
        <w:rPr>
          <w:rFonts w:hint="default" w:ascii="仿宋_GB2312" w:hAnsi="Times New Roman" w:eastAsia="仿宋_GB2312" w:cs="仿宋_GB2312"/>
          <w:color w:val="auto"/>
          <w:kern w:val="2"/>
          <w:sz w:val="32"/>
          <w:szCs w:val="32"/>
          <w:u w:val="none"/>
          <w:lang w:val="en-US" w:eastAsia="zh-CN"/>
        </w:rPr>
        <w:t>申请人需要补正的全部内容。逾期未告知</w:t>
      </w:r>
      <w:r>
        <w:rPr>
          <w:rFonts w:hint="eastAsia" w:ascii="仿宋_GB2312" w:hAnsi="Times New Roman" w:eastAsia="仿宋_GB2312" w:cs="仿宋_GB2312"/>
          <w:color w:val="auto"/>
          <w:kern w:val="2"/>
          <w:sz w:val="32"/>
          <w:szCs w:val="32"/>
          <w:u w:val="none"/>
          <w:lang w:val="en-US" w:eastAsia="zh-CN"/>
        </w:rPr>
        <w:t>检查</w:t>
      </w:r>
      <w:r>
        <w:rPr>
          <w:rFonts w:hint="default" w:ascii="仿宋_GB2312" w:hAnsi="Times New Roman" w:eastAsia="仿宋_GB2312" w:cs="仿宋_GB2312"/>
          <w:color w:val="auto"/>
          <w:kern w:val="2"/>
          <w:sz w:val="32"/>
          <w:szCs w:val="32"/>
          <w:u w:val="none"/>
          <w:lang w:val="en-US" w:eastAsia="zh-CN"/>
        </w:rPr>
        <w:t>申请人补正的，自收到申请材料之日起即为受理。</w:t>
      </w:r>
      <w:r>
        <w:rPr>
          <w:rFonts w:hint="eastAsia" w:ascii="仿宋_GB2312" w:hAnsi="Times New Roman" w:eastAsia="仿宋_GB2312" w:cs="仿宋_GB2312"/>
          <w:color w:val="auto"/>
          <w:kern w:val="2"/>
          <w:sz w:val="32"/>
          <w:szCs w:val="32"/>
          <w:u w:val="none"/>
          <w:lang w:eastAsia="zh-CN"/>
        </w:rPr>
        <w:t>资料齐全、形式符合要求的，</w:t>
      </w:r>
      <w:r>
        <w:rPr>
          <w:rFonts w:hint="eastAsia" w:ascii="仿宋_GB2312" w:hAnsi="Times New Roman" w:eastAsia="仿宋_GB2312" w:cs="仿宋_GB2312"/>
          <w:b/>
          <w:bCs/>
          <w:color w:val="auto"/>
          <w:kern w:val="2"/>
          <w:sz w:val="32"/>
          <w:szCs w:val="32"/>
          <w:u w:val="none"/>
          <w:lang w:eastAsia="zh-CN"/>
        </w:rPr>
        <w:t>应予受理</w:t>
      </w:r>
      <w:r>
        <w:rPr>
          <w:rFonts w:hint="eastAsia" w:ascii="仿宋_GB2312" w:hAnsi="Times New Roman" w:eastAsia="仿宋_GB2312" w:cs="仿宋_GB2312"/>
          <w:color w:val="auto"/>
          <w:kern w:val="2"/>
          <w:sz w:val="32"/>
          <w:szCs w:val="32"/>
          <w:u w:val="none"/>
          <w:lang w:eastAsia="zh-CN"/>
        </w:rPr>
        <w:t>并告知检查申请人。</w:t>
      </w:r>
    </w:p>
    <w:p>
      <w:pPr>
        <w:keepNext w:val="0"/>
        <w:keepLines w:val="0"/>
        <w:pageBreakBefore w:val="0"/>
        <w:widowControl w:val="0"/>
        <w:numPr>
          <w:ilvl w:val="0"/>
          <w:numId w:val="0"/>
        </w:numPr>
        <w:suppressLineNumbers w:val="0"/>
        <w:kinsoku/>
        <w:overflowPunct/>
        <w:topLinePunct w:val="0"/>
        <w:autoSpaceDE/>
        <w:autoSpaceDN/>
        <w:bidi w:val="0"/>
        <w:adjustRightInd w:val="0"/>
        <w:snapToGrid w:val="0"/>
        <w:spacing w:before="0" w:beforeAutospacing="0" w:afterAutospacing="0" w:line="590" w:lineRule="exact"/>
        <w:ind w:right="0" w:rightChars="0" w:firstLine="640" w:firstLineChars="200"/>
        <w:jc w:val="both"/>
        <w:textAlignment w:val="auto"/>
        <w:rPr>
          <w:rFonts w:hint="eastAsia" w:ascii="方正仿宋_GBK" w:hAnsi="仿宋" w:eastAsia="方正仿宋_GBK" w:cs="Times New Roman"/>
          <w:color w:val="auto"/>
          <w:sz w:val="32"/>
          <w:szCs w:val="20"/>
          <w:u w:val="none"/>
          <w:lang w:bidi="ar"/>
        </w:rPr>
      </w:pPr>
      <w:r>
        <w:rPr>
          <w:rFonts w:hint="eastAsia" w:ascii="仿宋_GB2312" w:hAnsi="Times New Roman" w:eastAsia="仿宋_GB2312" w:cs="仿宋_GB2312"/>
          <w:color w:val="auto"/>
          <w:kern w:val="2"/>
          <w:sz w:val="32"/>
          <w:szCs w:val="32"/>
          <w:u w:val="none"/>
          <w:lang w:val="en-US" w:eastAsia="zh-CN"/>
        </w:rPr>
        <w:t>检查</w:t>
      </w:r>
      <w:r>
        <w:rPr>
          <w:rFonts w:hint="default" w:ascii="仿宋_GB2312" w:hAnsi="Times New Roman" w:eastAsia="仿宋_GB2312" w:cs="仿宋_GB2312"/>
          <w:color w:val="auto"/>
          <w:kern w:val="2"/>
          <w:sz w:val="32"/>
          <w:szCs w:val="32"/>
          <w:u w:val="none"/>
          <w:lang w:val="en-US" w:eastAsia="zh-CN"/>
        </w:rPr>
        <w:t>申请人应当在</w:t>
      </w:r>
      <w:r>
        <w:rPr>
          <w:rFonts w:hint="eastAsia" w:ascii="仿宋_GB2312" w:hAnsi="Times New Roman" w:eastAsia="仿宋_GB2312" w:cs="仿宋_GB2312"/>
          <w:color w:val="auto"/>
          <w:kern w:val="2"/>
          <w:sz w:val="32"/>
          <w:szCs w:val="32"/>
          <w:u w:val="none"/>
          <w:lang w:val="en-US" w:eastAsia="zh-CN"/>
        </w:rPr>
        <w:t>5个工作</w:t>
      </w:r>
      <w:r>
        <w:rPr>
          <w:rFonts w:hint="default" w:ascii="仿宋_GB2312" w:hAnsi="Times New Roman" w:eastAsia="仿宋_GB2312" w:cs="仿宋_GB2312"/>
          <w:color w:val="auto"/>
          <w:kern w:val="2"/>
          <w:sz w:val="32"/>
          <w:szCs w:val="32"/>
          <w:u w:val="none"/>
          <w:lang w:val="en-US" w:eastAsia="zh-CN"/>
        </w:rPr>
        <w:t>日内完成</w:t>
      </w:r>
      <w:r>
        <w:rPr>
          <w:rFonts w:hint="eastAsia" w:ascii="仿宋_GB2312" w:hAnsi="Times New Roman" w:eastAsia="仿宋_GB2312" w:cs="仿宋_GB2312"/>
          <w:color w:val="auto"/>
          <w:kern w:val="2"/>
          <w:sz w:val="32"/>
          <w:szCs w:val="32"/>
          <w:u w:val="none"/>
          <w:lang w:val="en-US" w:eastAsia="zh-CN"/>
        </w:rPr>
        <w:t>材料</w:t>
      </w:r>
      <w:r>
        <w:rPr>
          <w:rFonts w:hint="default" w:ascii="仿宋_GB2312" w:hAnsi="Times New Roman" w:eastAsia="仿宋_GB2312" w:cs="仿宋_GB2312"/>
          <w:color w:val="auto"/>
          <w:kern w:val="2"/>
          <w:sz w:val="32"/>
          <w:szCs w:val="32"/>
          <w:u w:val="none"/>
          <w:lang w:val="en-US" w:eastAsia="zh-CN"/>
        </w:rPr>
        <w:t>补正。无正当理由逾期不予补正的，视为放弃申请，无需作出不予受理的决定。</w:t>
      </w:r>
    </w:p>
    <w:p>
      <w:pPr>
        <w:pStyle w:val="8"/>
        <w:keepNext w:val="0"/>
        <w:keepLines w:val="0"/>
        <w:pageBreakBefore w:val="0"/>
        <w:widowControl w:val="0"/>
        <w:numPr>
          <w:ilvl w:val="0"/>
          <w:numId w:val="0"/>
        </w:numPr>
        <w:kinsoku/>
        <w:overflowPunct/>
        <w:topLinePunct w:val="0"/>
        <w:autoSpaceDE/>
        <w:autoSpaceDN/>
        <w:bidi w:val="0"/>
        <w:adjustRightInd w:val="0"/>
        <w:snapToGrid w:val="0"/>
        <w:spacing w:before="0" w:beforeAutospacing="0" w:after="0" w:afterAutospacing="0" w:line="590" w:lineRule="exact"/>
        <w:ind w:firstLine="640" w:firstLineChars="200"/>
        <w:jc w:val="both"/>
        <w:textAlignment w:val="auto"/>
        <w:rPr>
          <w:rFonts w:hint="eastAsia" w:ascii="方正仿宋_GBK" w:hAnsi="仿宋" w:eastAsia="方正仿宋_GBK" w:cs="Times New Roman"/>
          <w:color w:val="auto"/>
          <w:sz w:val="32"/>
          <w:szCs w:val="20"/>
          <w:u w:val="none"/>
          <w:lang w:val="en-US" w:eastAsia="zh-CN" w:bidi="ar"/>
        </w:rPr>
      </w:pPr>
      <w:r>
        <w:rPr>
          <w:rFonts w:hint="eastAsia" w:ascii="方正仿宋_GBK" w:hAnsi="仿宋" w:eastAsia="方正仿宋_GBK" w:cs="Times New Roman"/>
          <w:b/>
          <w:bCs/>
          <w:color w:val="auto"/>
          <w:sz w:val="32"/>
          <w:szCs w:val="20"/>
          <w:u w:val="none"/>
          <w:lang w:eastAsia="zh-CN" w:bidi="ar"/>
        </w:rPr>
        <w:t>第十条</w:t>
      </w:r>
      <w:r>
        <w:rPr>
          <w:rFonts w:hint="eastAsia" w:ascii="方正仿宋_GBK" w:hAnsi="仿宋" w:eastAsia="方正仿宋_GBK" w:cs="Times New Roman"/>
          <w:color w:val="auto"/>
          <w:sz w:val="32"/>
          <w:szCs w:val="20"/>
          <w:u w:val="none"/>
          <w:lang w:val="en-US" w:eastAsia="zh-CN" w:bidi="ar"/>
        </w:rPr>
        <w:t xml:space="preserve"> </w:t>
      </w:r>
      <w:r>
        <w:rPr>
          <w:rFonts w:hint="eastAsia" w:ascii="方正仿宋_GBK" w:hAnsi="仿宋" w:eastAsia="方正仿宋_GBK" w:cs="Times New Roman"/>
          <w:b/>
          <w:bCs/>
          <w:color w:val="auto"/>
          <w:sz w:val="32"/>
          <w:szCs w:val="20"/>
          <w:u w:val="none"/>
          <w:lang w:val="en-US" w:eastAsia="zh-CN" w:bidi="ar"/>
        </w:rPr>
        <w:t>（不予受理的情形）</w:t>
      </w:r>
      <w:r>
        <w:rPr>
          <w:rFonts w:hint="eastAsia" w:ascii="方正仿宋_GBK" w:hAnsi="仿宋" w:eastAsia="方正仿宋_GBK" w:cs="Times New Roman"/>
          <w:color w:val="auto"/>
          <w:sz w:val="32"/>
          <w:szCs w:val="20"/>
          <w:u w:val="none"/>
          <w:lang w:bidi="ar"/>
        </w:rPr>
        <w:t>存在以下情形之一的，</w:t>
      </w:r>
      <w:r>
        <w:rPr>
          <w:rFonts w:hint="eastAsia" w:ascii="方正仿宋_GBK" w:hAnsi="仿宋" w:eastAsia="方正仿宋_GBK" w:cs="Times New Roman"/>
          <w:color w:val="auto"/>
          <w:sz w:val="32"/>
          <w:szCs w:val="20"/>
          <w:u w:val="none"/>
          <w:lang w:eastAsia="zh-CN" w:bidi="ar"/>
        </w:rPr>
        <w:t>给予</w:t>
      </w:r>
      <w:r>
        <w:rPr>
          <w:rFonts w:hint="eastAsia" w:ascii="方正仿宋_GBK" w:hAnsi="仿宋" w:eastAsia="方正仿宋_GBK" w:cs="Times New Roman"/>
          <w:color w:val="auto"/>
          <w:sz w:val="32"/>
          <w:szCs w:val="20"/>
          <w:u w:val="none"/>
          <w:lang w:bidi="ar"/>
        </w:rPr>
        <w:t>不予</w:t>
      </w:r>
      <w:r>
        <w:rPr>
          <w:rFonts w:hint="eastAsia" w:ascii="方正仿宋_GBK" w:hAnsi="仿宋" w:eastAsia="方正仿宋_GBK" w:cs="Times New Roman"/>
          <w:color w:val="auto"/>
          <w:sz w:val="32"/>
          <w:szCs w:val="20"/>
          <w:u w:val="none"/>
          <w:lang w:eastAsia="zh-CN" w:bidi="ar"/>
        </w:rPr>
        <w:t>受理的决定并书面说明理由</w:t>
      </w:r>
      <w:r>
        <w:rPr>
          <w:rFonts w:hint="eastAsia" w:ascii="方正仿宋_GBK" w:hAnsi="仿宋" w:eastAsia="方正仿宋_GBK" w:cs="Times New Roman"/>
          <w:color w:val="auto"/>
          <w:sz w:val="32"/>
          <w:szCs w:val="20"/>
          <w:u w:val="none"/>
          <w:lang w:bidi="ar"/>
        </w:rPr>
        <w:t>：</w:t>
      </w:r>
    </w:p>
    <w:p>
      <w:pPr>
        <w:pStyle w:val="8"/>
        <w:keepNext w:val="0"/>
        <w:keepLines w:val="0"/>
        <w:pageBreakBefore w:val="0"/>
        <w:widowControl w:val="0"/>
        <w:numPr>
          <w:ilvl w:val="0"/>
          <w:numId w:val="0"/>
        </w:numPr>
        <w:kinsoku/>
        <w:overflowPunct/>
        <w:topLinePunct w:val="0"/>
        <w:autoSpaceDE/>
        <w:autoSpaceDN/>
        <w:bidi w:val="0"/>
        <w:adjustRightInd w:val="0"/>
        <w:snapToGrid w:val="0"/>
        <w:spacing w:before="0" w:beforeAutospacing="0" w:after="0" w:afterAutospacing="0" w:line="590" w:lineRule="exact"/>
        <w:ind w:firstLine="640" w:firstLineChars="200"/>
        <w:jc w:val="both"/>
        <w:textAlignment w:val="auto"/>
        <w:rPr>
          <w:rFonts w:hint="eastAsia" w:ascii="方正仿宋_GBK" w:hAnsi="仿宋" w:eastAsia="方正仿宋_GBK" w:cs="Times New Roman"/>
          <w:color w:val="auto"/>
          <w:sz w:val="32"/>
          <w:szCs w:val="20"/>
          <w:u w:val="none"/>
          <w:lang w:bidi="ar"/>
        </w:rPr>
      </w:pPr>
      <w:r>
        <w:rPr>
          <w:rFonts w:hint="eastAsia" w:ascii="方正仿宋_GBK" w:hAnsi="仿宋" w:eastAsia="方正仿宋_GBK" w:cs="Times New Roman"/>
          <w:color w:val="auto"/>
          <w:sz w:val="32"/>
          <w:szCs w:val="20"/>
          <w:u w:val="none"/>
          <w:lang w:eastAsia="zh-CN" w:bidi="ar"/>
        </w:rPr>
        <w:t>（一）</w:t>
      </w:r>
      <w:r>
        <w:rPr>
          <w:rFonts w:hint="eastAsia" w:ascii="方正仿宋_GBK" w:hAnsi="仿宋" w:eastAsia="方正仿宋_GBK" w:cs="Times New Roman"/>
          <w:color w:val="auto"/>
          <w:sz w:val="32"/>
          <w:szCs w:val="20"/>
          <w:u w:val="none"/>
          <w:lang w:bidi="ar"/>
        </w:rPr>
        <w:t>申请</w:t>
      </w:r>
      <w:r>
        <w:rPr>
          <w:rFonts w:hint="eastAsia" w:ascii="方正仿宋_GBK" w:hAnsi="仿宋" w:eastAsia="方正仿宋_GBK" w:cs="Times New Roman"/>
          <w:color w:val="auto"/>
          <w:sz w:val="32"/>
          <w:szCs w:val="20"/>
          <w:u w:val="none"/>
          <w:lang w:eastAsia="zh-CN" w:bidi="ar"/>
        </w:rPr>
        <w:t>材料</w:t>
      </w:r>
      <w:r>
        <w:rPr>
          <w:rFonts w:hint="eastAsia" w:ascii="方正仿宋_GBK" w:hAnsi="仿宋" w:eastAsia="方正仿宋_GBK" w:cs="Times New Roman"/>
          <w:color w:val="auto"/>
          <w:sz w:val="32"/>
          <w:szCs w:val="20"/>
          <w:u w:val="none"/>
          <w:lang w:bidi="ar"/>
        </w:rPr>
        <w:t>虚假的；</w:t>
      </w:r>
    </w:p>
    <w:p>
      <w:pPr>
        <w:pStyle w:val="8"/>
        <w:keepNext w:val="0"/>
        <w:keepLines w:val="0"/>
        <w:pageBreakBefore w:val="0"/>
        <w:widowControl w:val="0"/>
        <w:numPr>
          <w:ilvl w:val="0"/>
          <w:numId w:val="0"/>
        </w:numPr>
        <w:kinsoku/>
        <w:overflowPunct/>
        <w:topLinePunct w:val="0"/>
        <w:autoSpaceDE/>
        <w:autoSpaceDN/>
        <w:bidi w:val="0"/>
        <w:adjustRightInd w:val="0"/>
        <w:snapToGrid w:val="0"/>
        <w:spacing w:before="0" w:beforeAutospacing="0" w:after="0" w:afterAutospacing="0" w:line="590" w:lineRule="exact"/>
        <w:ind w:firstLine="640" w:firstLineChars="200"/>
        <w:jc w:val="both"/>
        <w:textAlignment w:val="auto"/>
        <w:rPr>
          <w:rFonts w:hint="eastAsia" w:ascii="方正仿宋_GBK" w:hAnsi="仿宋" w:eastAsia="方正仿宋_GBK" w:cs="Times New Roman"/>
          <w:color w:val="auto"/>
          <w:sz w:val="32"/>
          <w:szCs w:val="20"/>
          <w:u w:val="none"/>
          <w:lang w:bidi="ar"/>
        </w:rPr>
      </w:pPr>
      <w:r>
        <w:rPr>
          <w:rFonts w:hint="eastAsia" w:ascii="方正仿宋_GBK" w:hAnsi="仿宋" w:eastAsia="方正仿宋_GBK" w:cs="Times New Roman"/>
          <w:color w:val="auto"/>
          <w:sz w:val="32"/>
          <w:szCs w:val="20"/>
          <w:u w:val="none"/>
          <w:lang w:val="en-US" w:eastAsia="zh-CN" w:bidi="ar"/>
        </w:rPr>
        <w:t>（二）申请材料补正后仍然存在实质性缺陷无法组织检查</w:t>
      </w:r>
      <w:r>
        <w:rPr>
          <w:rFonts w:hint="eastAsia" w:ascii="方正仿宋_GBK" w:hAnsi="仿宋" w:eastAsia="方正仿宋_GBK" w:cs="Times New Roman"/>
          <w:color w:val="auto"/>
          <w:sz w:val="32"/>
          <w:szCs w:val="20"/>
          <w:u w:val="none"/>
          <w:lang w:bidi="ar"/>
        </w:rPr>
        <w:t>的；</w:t>
      </w:r>
    </w:p>
    <w:p>
      <w:pPr>
        <w:pStyle w:val="8"/>
        <w:keepNext w:val="0"/>
        <w:keepLines w:val="0"/>
        <w:pageBreakBefore w:val="0"/>
        <w:widowControl w:val="0"/>
        <w:numPr>
          <w:ilvl w:val="0"/>
          <w:numId w:val="0"/>
        </w:numPr>
        <w:kinsoku/>
        <w:overflowPunct/>
        <w:topLinePunct w:val="0"/>
        <w:autoSpaceDE/>
        <w:autoSpaceDN/>
        <w:bidi w:val="0"/>
        <w:adjustRightInd w:val="0"/>
        <w:snapToGrid w:val="0"/>
        <w:spacing w:before="0" w:beforeAutospacing="0" w:after="0" w:afterAutospacing="0" w:line="590" w:lineRule="exact"/>
        <w:ind w:firstLine="640" w:firstLineChars="200"/>
        <w:jc w:val="both"/>
        <w:textAlignment w:val="auto"/>
        <w:rPr>
          <w:rFonts w:hint="eastAsia" w:ascii="方正仿宋_GBK" w:hAnsi="仿宋" w:eastAsia="方正仿宋_GBK" w:cs="Times New Roman"/>
          <w:color w:val="auto"/>
          <w:sz w:val="32"/>
          <w:szCs w:val="20"/>
          <w:u w:val="none"/>
          <w:lang w:bidi="ar"/>
        </w:rPr>
      </w:pPr>
      <w:r>
        <w:rPr>
          <w:rFonts w:hint="eastAsia" w:ascii="方正仿宋_GBK" w:hAnsi="仿宋" w:eastAsia="方正仿宋_GBK" w:cs="Times New Roman"/>
          <w:color w:val="auto"/>
          <w:sz w:val="32"/>
          <w:szCs w:val="20"/>
          <w:u w:val="none"/>
          <w:lang w:eastAsia="zh-CN" w:bidi="ar"/>
        </w:rPr>
        <w:t>（三）按本程序规定无需申请检查</w:t>
      </w:r>
      <w:r>
        <w:rPr>
          <w:rFonts w:hint="eastAsia" w:ascii="方正仿宋_GBK" w:hAnsi="仿宋" w:eastAsia="方正仿宋_GBK" w:cs="Times New Roman"/>
          <w:color w:val="auto"/>
          <w:sz w:val="32"/>
          <w:szCs w:val="20"/>
          <w:u w:val="none"/>
          <w:lang w:bidi="ar"/>
        </w:rPr>
        <w:t>的；</w:t>
      </w:r>
    </w:p>
    <w:p>
      <w:pPr>
        <w:pStyle w:val="8"/>
        <w:keepNext w:val="0"/>
        <w:keepLines w:val="0"/>
        <w:pageBreakBefore w:val="0"/>
        <w:widowControl w:val="0"/>
        <w:numPr>
          <w:ilvl w:val="0"/>
          <w:numId w:val="0"/>
        </w:numPr>
        <w:kinsoku/>
        <w:overflowPunct/>
        <w:topLinePunct w:val="0"/>
        <w:autoSpaceDE/>
        <w:autoSpaceDN/>
        <w:bidi w:val="0"/>
        <w:adjustRightInd w:val="0"/>
        <w:snapToGrid w:val="0"/>
        <w:spacing w:before="0" w:beforeAutospacing="0" w:after="0" w:afterAutospacing="0" w:line="590" w:lineRule="exact"/>
        <w:ind w:firstLine="640" w:firstLineChars="200"/>
        <w:jc w:val="both"/>
        <w:textAlignment w:val="auto"/>
        <w:rPr>
          <w:rFonts w:hint="eastAsia" w:ascii="方正仿宋_GBK" w:hAnsi="仿宋" w:eastAsia="方正仿宋_GBK" w:cs="Times New Roman"/>
          <w:color w:val="auto"/>
          <w:sz w:val="32"/>
          <w:szCs w:val="20"/>
          <w:u w:val="none"/>
          <w:lang w:bidi="ar"/>
        </w:rPr>
      </w:pPr>
      <w:r>
        <w:rPr>
          <w:rFonts w:hint="eastAsia" w:ascii="方正仿宋_GBK" w:hAnsi="仿宋" w:eastAsia="方正仿宋_GBK" w:cs="Times New Roman"/>
          <w:color w:val="auto"/>
          <w:sz w:val="32"/>
          <w:szCs w:val="20"/>
          <w:u w:val="none"/>
          <w:lang w:eastAsia="zh-CN" w:bidi="ar"/>
        </w:rPr>
        <w:t>（四）不属于省局职权范围的；</w:t>
      </w:r>
    </w:p>
    <w:p>
      <w:pPr>
        <w:pStyle w:val="8"/>
        <w:keepNext w:val="0"/>
        <w:keepLines w:val="0"/>
        <w:pageBreakBefore w:val="0"/>
        <w:widowControl w:val="0"/>
        <w:numPr>
          <w:ilvl w:val="0"/>
          <w:numId w:val="0"/>
        </w:numPr>
        <w:kinsoku/>
        <w:overflowPunct/>
        <w:topLinePunct w:val="0"/>
        <w:autoSpaceDE/>
        <w:autoSpaceDN/>
        <w:bidi w:val="0"/>
        <w:adjustRightInd w:val="0"/>
        <w:snapToGrid w:val="0"/>
        <w:spacing w:before="0" w:beforeAutospacing="0" w:after="0" w:afterAutospacing="0" w:line="590" w:lineRule="exact"/>
        <w:ind w:firstLine="640" w:firstLineChars="200"/>
        <w:jc w:val="both"/>
        <w:textAlignment w:val="auto"/>
        <w:rPr>
          <w:rFonts w:hint="eastAsia" w:ascii="方正仿宋_GBK" w:hAnsi="仿宋" w:eastAsia="方正仿宋_GBK" w:cs="Times New Roman"/>
          <w:color w:val="auto"/>
          <w:sz w:val="32"/>
          <w:szCs w:val="20"/>
          <w:u w:val="none"/>
          <w:lang w:eastAsia="zh-CN" w:bidi="ar"/>
        </w:rPr>
      </w:pPr>
      <w:r>
        <w:rPr>
          <w:rFonts w:hint="eastAsia" w:ascii="方正仿宋_GBK" w:hAnsi="仿宋" w:eastAsia="方正仿宋_GBK" w:cs="Times New Roman"/>
          <w:color w:val="auto"/>
          <w:sz w:val="32"/>
          <w:szCs w:val="20"/>
          <w:u w:val="none"/>
          <w:lang w:eastAsia="zh-CN" w:bidi="ar"/>
        </w:rPr>
        <w:t>（五）其他不予受理的情形；</w:t>
      </w:r>
    </w:p>
    <w:p>
      <w:pPr>
        <w:pStyle w:val="8"/>
        <w:keepNext w:val="0"/>
        <w:keepLines w:val="0"/>
        <w:pageBreakBefore w:val="0"/>
        <w:widowControl w:val="0"/>
        <w:kinsoku/>
        <w:overflowPunct/>
        <w:topLinePunct w:val="0"/>
        <w:autoSpaceDE/>
        <w:autoSpaceDN/>
        <w:bidi w:val="0"/>
        <w:adjustRightInd w:val="0"/>
        <w:snapToGrid w:val="0"/>
        <w:spacing w:before="0" w:beforeAutospacing="0" w:after="0" w:afterAutospacing="0" w:line="590" w:lineRule="exact"/>
        <w:ind w:firstLine="640" w:firstLineChars="200"/>
        <w:jc w:val="both"/>
        <w:textAlignment w:val="auto"/>
        <w:rPr>
          <w:rFonts w:hint="eastAsia" w:ascii="方正仿宋_GBK" w:hAnsi="仿宋" w:eastAsia="方正仿宋_GBK" w:cs="Times New Roman"/>
          <w:color w:val="auto"/>
          <w:sz w:val="32"/>
          <w:szCs w:val="20"/>
          <w:u w:val="none"/>
          <w:lang w:eastAsia="zh-CN" w:bidi="ar"/>
        </w:rPr>
      </w:pPr>
      <w:r>
        <w:rPr>
          <w:rFonts w:hint="eastAsia" w:ascii="方正仿宋_GBK" w:hAnsi="仿宋" w:eastAsia="方正仿宋_GBK" w:cs="Times New Roman"/>
          <w:b/>
          <w:bCs/>
          <w:color w:val="auto"/>
          <w:sz w:val="32"/>
          <w:szCs w:val="20"/>
          <w:u w:val="none"/>
          <w:lang w:eastAsia="zh-CN" w:bidi="ar"/>
        </w:rPr>
        <w:t>第十一条</w:t>
      </w:r>
      <w:r>
        <w:rPr>
          <w:rFonts w:hint="eastAsia" w:ascii="方正仿宋_GBK" w:hAnsi="仿宋" w:eastAsia="方正仿宋_GBK" w:cs="Times New Roman"/>
          <w:color w:val="auto"/>
          <w:sz w:val="32"/>
          <w:szCs w:val="20"/>
          <w:u w:val="none"/>
          <w:lang w:val="en-US" w:eastAsia="zh-CN" w:bidi="ar"/>
        </w:rPr>
        <w:t xml:space="preserve"> </w:t>
      </w:r>
      <w:r>
        <w:rPr>
          <w:rFonts w:hint="eastAsia" w:ascii="方正仿宋_GBK" w:hAnsi="仿宋" w:eastAsia="方正仿宋_GBK" w:cs="Times New Roman"/>
          <w:b/>
          <w:bCs/>
          <w:color w:val="auto"/>
          <w:sz w:val="32"/>
          <w:szCs w:val="20"/>
          <w:u w:val="none"/>
          <w:lang w:val="en-US" w:eastAsia="zh-CN" w:bidi="ar"/>
        </w:rPr>
        <w:t>（申请撤回）</w:t>
      </w:r>
      <w:r>
        <w:rPr>
          <w:rFonts w:hint="eastAsia" w:ascii="方正仿宋_GBK" w:hAnsi="仿宋" w:eastAsia="方正仿宋_GBK" w:cs="Times New Roman"/>
          <w:color w:val="auto"/>
          <w:sz w:val="32"/>
          <w:szCs w:val="20"/>
          <w:u w:val="none"/>
          <w:lang w:val="en-US" w:eastAsia="zh-CN" w:bidi="ar"/>
        </w:rPr>
        <w:t xml:space="preserve"> </w:t>
      </w:r>
      <w:r>
        <w:rPr>
          <w:rFonts w:hint="eastAsia" w:ascii="方正仿宋_GBK" w:hAnsi="仿宋" w:eastAsia="方正仿宋_GBK" w:cs="Times New Roman"/>
          <w:color w:val="auto"/>
          <w:sz w:val="32"/>
          <w:szCs w:val="20"/>
          <w:u w:val="none"/>
          <w:lang w:bidi="ar"/>
        </w:rPr>
        <w:t>已受理的申请，</w:t>
      </w:r>
      <w:r>
        <w:rPr>
          <w:rFonts w:hint="eastAsia" w:ascii="方正仿宋_GBK" w:hAnsi="仿宋" w:eastAsia="方正仿宋_GBK" w:cs="Times New Roman"/>
          <w:color w:val="auto"/>
          <w:sz w:val="32"/>
          <w:szCs w:val="20"/>
          <w:u w:val="none"/>
          <w:lang w:eastAsia="zh-CN" w:bidi="ar"/>
        </w:rPr>
        <w:t>检查</w:t>
      </w:r>
      <w:r>
        <w:rPr>
          <w:rFonts w:hint="eastAsia" w:ascii="方正仿宋_GBK" w:hAnsi="仿宋" w:eastAsia="方正仿宋_GBK" w:cs="Times New Roman"/>
          <w:color w:val="auto"/>
          <w:sz w:val="32"/>
          <w:szCs w:val="20"/>
          <w:u w:val="none"/>
          <w:lang w:bidi="ar"/>
        </w:rPr>
        <w:t>申请人</w:t>
      </w:r>
      <w:r>
        <w:rPr>
          <w:rFonts w:hint="eastAsia" w:ascii="方正仿宋_GBK" w:hAnsi="仿宋" w:eastAsia="方正仿宋_GBK" w:cs="Times New Roman"/>
          <w:color w:val="auto"/>
          <w:sz w:val="32"/>
          <w:szCs w:val="20"/>
          <w:u w:val="none"/>
          <w:lang w:eastAsia="zh-CN" w:bidi="ar"/>
        </w:rPr>
        <w:t>可</w:t>
      </w:r>
      <w:r>
        <w:rPr>
          <w:rFonts w:hint="eastAsia" w:ascii="方正仿宋_GBK" w:hAnsi="仿宋" w:eastAsia="方正仿宋_GBK" w:cs="Times New Roman"/>
          <w:color w:val="auto"/>
          <w:sz w:val="32"/>
          <w:szCs w:val="20"/>
          <w:u w:val="none"/>
          <w:lang w:bidi="ar"/>
        </w:rPr>
        <w:t>在</w:t>
      </w:r>
      <w:r>
        <w:rPr>
          <w:rFonts w:hint="eastAsia" w:ascii="方正仿宋_GBK" w:hAnsi="仿宋" w:eastAsia="方正仿宋_GBK" w:cs="Times New Roman"/>
          <w:color w:val="auto"/>
          <w:sz w:val="32"/>
          <w:szCs w:val="20"/>
          <w:u w:val="none"/>
          <w:lang w:eastAsia="zh-CN" w:bidi="ar"/>
        </w:rPr>
        <w:t>核查中心发出检查通知</w:t>
      </w:r>
      <w:r>
        <w:rPr>
          <w:rFonts w:hint="eastAsia" w:ascii="方正仿宋_GBK" w:hAnsi="仿宋" w:eastAsia="方正仿宋_GBK" w:cs="Times New Roman"/>
          <w:color w:val="auto"/>
          <w:sz w:val="32"/>
          <w:szCs w:val="20"/>
          <w:u w:val="none"/>
          <w:lang w:bidi="ar"/>
        </w:rPr>
        <w:t>前</w:t>
      </w:r>
      <w:r>
        <w:rPr>
          <w:rFonts w:hint="eastAsia" w:ascii="方正仿宋_GBK" w:hAnsi="仿宋" w:eastAsia="方正仿宋_GBK" w:cs="Times New Roman"/>
          <w:color w:val="auto"/>
          <w:sz w:val="32"/>
          <w:szCs w:val="20"/>
          <w:u w:val="none"/>
          <w:lang w:eastAsia="zh-CN" w:bidi="ar"/>
        </w:rPr>
        <w:t>，向核查中心</w:t>
      </w:r>
      <w:r>
        <w:rPr>
          <w:rFonts w:hint="eastAsia" w:ascii="方正仿宋_GBK" w:hAnsi="仿宋" w:eastAsia="方正仿宋_GBK" w:cs="Times New Roman"/>
          <w:color w:val="auto"/>
          <w:sz w:val="32"/>
          <w:szCs w:val="20"/>
          <w:u w:val="none"/>
          <w:lang w:bidi="ar"/>
        </w:rPr>
        <w:t>书面提出撤回</w:t>
      </w:r>
      <w:r>
        <w:rPr>
          <w:rFonts w:hint="eastAsia" w:ascii="方正仿宋_GBK" w:hAnsi="仿宋" w:eastAsia="方正仿宋_GBK" w:cs="Times New Roman"/>
          <w:color w:val="auto"/>
          <w:sz w:val="32"/>
          <w:szCs w:val="20"/>
          <w:u w:val="none"/>
          <w:lang w:val="en-US" w:eastAsia="zh-CN" w:bidi="ar"/>
        </w:rPr>
        <w:t>GMP符合性检查</w:t>
      </w:r>
      <w:r>
        <w:rPr>
          <w:rFonts w:hint="eastAsia" w:ascii="方正仿宋_GBK" w:hAnsi="仿宋" w:eastAsia="方正仿宋_GBK" w:cs="Times New Roman"/>
          <w:color w:val="auto"/>
          <w:sz w:val="32"/>
          <w:szCs w:val="20"/>
          <w:u w:val="none"/>
          <w:lang w:bidi="ar"/>
        </w:rPr>
        <w:t>申请并说明理由</w:t>
      </w:r>
      <w:r>
        <w:rPr>
          <w:rFonts w:hint="eastAsia" w:ascii="方正仿宋_GBK" w:hAnsi="仿宋" w:eastAsia="方正仿宋_GBK" w:cs="Times New Roman"/>
          <w:color w:val="auto"/>
          <w:sz w:val="32"/>
          <w:szCs w:val="20"/>
          <w:u w:val="none"/>
          <w:lang w:eastAsia="zh-CN" w:bidi="ar"/>
        </w:rPr>
        <w:t>。</w:t>
      </w:r>
    </w:p>
    <w:p>
      <w:pPr>
        <w:keepNext w:val="0"/>
        <w:keepLines w:val="0"/>
        <w:pageBreakBefore w:val="0"/>
        <w:widowControl w:val="0"/>
        <w:numPr>
          <w:ilvl w:val="0"/>
          <w:numId w:val="0"/>
        </w:numPr>
        <w:suppressLineNumbers w:val="0"/>
        <w:kinsoku/>
        <w:overflowPunct/>
        <w:topLinePunct w:val="0"/>
        <w:autoSpaceDE/>
        <w:autoSpaceDN/>
        <w:bidi w:val="0"/>
        <w:adjustRightInd w:val="0"/>
        <w:snapToGrid w:val="0"/>
        <w:spacing w:before="0" w:beforeAutospacing="0" w:afterAutospacing="0" w:line="590" w:lineRule="exact"/>
        <w:ind w:right="0" w:rightChars="0"/>
        <w:jc w:val="center"/>
        <w:textAlignment w:val="auto"/>
        <w:rPr>
          <w:rFonts w:hint="eastAsia" w:ascii="方正仿宋_GBK" w:hAnsi="仿宋" w:eastAsia="方正仿宋_GBK" w:cs="Times New Roman"/>
          <w:color w:val="auto"/>
          <w:sz w:val="32"/>
          <w:szCs w:val="20"/>
          <w:u w:val="none"/>
          <w:lang w:eastAsia="zh-CN" w:bidi="ar"/>
        </w:rPr>
      </w:pPr>
      <w:r>
        <w:rPr>
          <w:rFonts w:hint="eastAsia" w:ascii="黑体" w:hAnsi="黑体" w:eastAsia="黑体" w:cs="黑体"/>
          <w:b w:val="0"/>
          <w:bCs w:val="0"/>
          <w:color w:val="auto"/>
          <w:sz w:val="32"/>
          <w:szCs w:val="32"/>
          <w:u w:val="none"/>
          <w:lang w:val="en-US" w:eastAsia="zh-CN"/>
        </w:rPr>
        <w:t>第三节  检查实施</w:t>
      </w:r>
    </w:p>
    <w:p>
      <w:pPr>
        <w:keepNext w:val="0"/>
        <w:keepLines w:val="0"/>
        <w:pageBreakBefore w:val="0"/>
        <w:numPr>
          <w:ilvl w:val="0"/>
          <w:numId w:val="0"/>
        </w:numPr>
        <w:kinsoku/>
        <w:overflowPunct/>
        <w:topLinePunct w:val="0"/>
        <w:autoSpaceDE/>
        <w:autoSpaceDN/>
        <w:bidi w:val="0"/>
        <w:adjustRightInd w:val="0"/>
        <w:snapToGrid w:val="0"/>
        <w:spacing w:line="590" w:lineRule="exact"/>
        <w:ind w:firstLine="640" w:firstLineChars="200"/>
        <w:jc w:val="both"/>
        <w:textAlignment w:val="auto"/>
        <w:rPr>
          <w:rFonts w:hint="eastAsia" w:ascii="仿宋_GB2312" w:hAnsi="Times New Roman" w:eastAsia="仿宋_GB2312" w:cs="仿宋_GB2312"/>
          <w:color w:val="auto"/>
          <w:kern w:val="2"/>
          <w:sz w:val="32"/>
          <w:szCs w:val="32"/>
          <w:u w:val="none"/>
          <w:lang w:val="en-US" w:eastAsia="zh-CN"/>
        </w:rPr>
      </w:pPr>
      <w:r>
        <w:rPr>
          <w:rFonts w:hint="eastAsia" w:ascii="仿宋_GB2312" w:hAnsi="Times New Roman" w:eastAsia="仿宋_GB2312" w:cs="仿宋_GB2312"/>
          <w:b/>
          <w:bCs/>
          <w:color w:val="auto"/>
          <w:kern w:val="2"/>
          <w:sz w:val="32"/>
          <w:szCs w:val="32"/>
          <w:u w:val="none"/>
          <w:lang w:val="en-US" w:eastAsia="zh-CN"/>
        </w:rPr>
        <w:t>第十二条（检查前准备）</w:t>
      </w:r>
      <w:r>
        <w:rPr>
          <w:rFonts w:hint="eastAsia" w:ascii="仿宋_GB2312" w:hAnsi="Times New Roman" w:eastAsia="仿宋_GB2312" w:cs="仿宋_GB2312"/>
          <w:color w:val="auto"/>
          <w:kern w:val="2"/>
          <w:sz w:val="32"/>
          <w:szCs w:val="32"/>
          <w:u w:val="none"/>
          <w:lang w:val="en-US" w:eastAsia="zh-CN"/>
        </w:rPr>
        <w:t>检查申请人收到申请受理信息后，应当及时通知相关方共同做好GMP符合性检查的准备，包括但不限于准备动态排产计划等，必要时与核查中心作必要的沟通，并在规定时限内接受核查/检查。</w:t>
      </w:r>
    </w:p>
    <w:p>
      <w:pPr>
        <w:keepNext w:val="0"/>
        <w:keepLines w:val="0"/>
        <w:pageBreakBefore w:val="0"/>
        <w:numPr>
          <w:ilvl w:val="0"/>
          <w:numId w:val="0"/>
        </w:numPr>
        <w:kinsoku/>
        <w:overflowPunct/>
        <w:topLinePunct w:val="0"/>
        <w:autoSpaceDE/>
        <w:autoSpaceDN/>
        <w:bidi w:val="0"/>
        <w:adjustRightInd w:val="0"/>
        <w:snapToGrid w:val="0"/>
        <w:spacing w:line="590" w:lineRule="exact"/>
        <w:ind w:firstLine="640" w:firstLineChars="200"/>
        <w:jc w:val="both"/>
        <w:textAlignment w:val="auto"/>
        <w:rPr>
          <w:rFonts w:hint="eastAsia" w:ascii="仿宋_GB2312" w:hAnsi="Times New Roman" w:eastAsia="仿宋_GB2312" w:cs="仿宋_GB2312"/>
          <w:color w:val="auto"/>
          <w:kern w:val="2"/>
          <w:sz w:val="32"/>
          <w:szCs w:val="32"/>
          <w:u w:val="none"/>
          <w:lang w:val="en-US" w:eastAsia="zh-CN"/>
        </w:rPr>
      </w:pPr>
      <w:r>
        <w:rPr>
          <w:rFonts w:hint="eastAsia" w:ascii="仿宋_GB2312" w:hAnsi="Times New Roman" w:eastAsia="仿宋_GB2312" w:cs="仿宋_GB2312"/>
          <w:color w:val="auto"/>
          <w:kern w:val="2"/>
          <w:sz w:val="32"/>
          <w:szCs w:val="32"/>
          <w:u w:val="none"/>
          <w:lang w:val="en-US" w:eastAsia="zh-CN"/>
        </w:rPr>
        <w:t>生产企业应当安排与检查相关的动态生产，检查申请人及其相关方应当及时提供检查所需的全部材料并确认检查相关文书。必要时，还应配合检查组进行抽样、送样等工作。</w:t>
      </w:r>
    </w:p>
    <w:p>
      <w:pPr>
        <w:pStyle w:val="8"/>
        <w:keepNext w:val="0"/>
        <w:keepLines w:val="0"/>
        <w:pageBreakBefore w:val="0"/>
        <w:widowControl w:val="0"/>
        <w:kinsoku/>
        <w:overflowPunct/>
        <w:topLinePunct w:val="0"/>
        <w:autoSpaceDE/>
        <w:autoSpaceDN/>
        <w:bidi w:val="0"/>
        <w:adjustRightInd w:val="0"/>
        <w:snapToGrid w:val="0"/>
        <w:spacing w:before="0" w:beforeAutospacing="0" w:after="0" w:afterAutospacing="0" w:line="590" w:lineRule="exact"/>
        <w:ind w:firstLine="640" w:firstLineChars="200"/>
        <w:jc w:val="both"/>
        <w:textAlignment w:val="auto"/>
        <w:rPr>
          <w:rFonts w:hint="eastAsia" w:ascii="仿宋_GB2312" w:hAnsi="Times New Roman" w:eastAsia="仿宋_GB2312" w:cs="仿宋_GB2312"/>
          <w:color w:val="auto"/>
          <w:kern w:val="2"/>
          <w:sz w:val="32"/>
          <w:szCs w:val="32"/>
          <w:u w:val="none"/>
          <w:lang w:eastAsia="zh-CN"/>
        </w:rPr>
      </w:pPr>
      <w:r>
        <w:rPr>
          <w:rFonts w:hint="eastAsia" w:ascii="仿宋_GB2312" w:hAnsi="Times New Roman" w:eastAsia="仿宋_GB2312" w:cs="仿宋_GB2312"/>
          <w:color w:val="auto"/>
          <w:kern w:val="2"/>
          <w:sz w:val="32"/>
          <w:szCs w:val="32"/>
          <w:u w:val="none"/>
          <w:lang w:eastAsia="zh-CN"/>
        </w:rPr>
        <w:t>检查申请人收到</w:t>
      </w:r>
      <w:r>
        <w:rPr>
          <w:rFonts w:hint="eastAsia" w:ascii="仿宋_GB2312" w:hAnsi="Times New Roman" w:eastAsia="仿宋_GB2312" w:cs="仿宋_GB2312"/>
          <w:color w:val="auto"/>
          <w:kern w:val="2"/>
          <w:sz w:val="32"/>
          <w:szCs w:val="32"/>
          <w:u w:val="none"/>
          <w:lang w:val="en-US" w:eastAsia="zh-CN"/>
        </w:rPr>
        <w:t>GMP符合性</w:t>
      </w:r>
      <w:r>
        <w:rPr>
          <w:rFonts w:hint="eastAsia" w:ascii="仿宋_GB2312" w:hAnsi="Times New Roman" w:eastAsia="仿宋_GB2312" w:cs="仿宋_GB2312"/>
          <w:color w:val="auto"/>
          <w:kern w:val="2"/>
          <w:sz w:val="32"/>
          <w:szCs w:val="32"/>
          <w:u w:val="none"/>
        </w:rPr>
        <w:t>检查</w:t>
      </w:r>
      <w:r>
        <w:rPr>
          <w:rFonts w:hint="eastAsia" w:ascii="仿宋_GB2312" w:hAnsi="Times New Roman" w:eastAsia="仿宋_GB2312" w:cs="仿宋_GB2312"/>
          <w:color w:val="auto"/>
          <w:kern w:val="2"/>
          <w:sz w:val="32"/>
          <w:szCs w:val="32"/>
          <w:u w:val="none"/>
          <w:lang w:eastAsia="zh-CN"/>
        </w:rPr>
        <w:t>安排通知后，无正当理由不按时接受检查或不配合检查导致检查无法完成的，由核查中心直接给予“不符合要求”的现场检查结论。</w:t>
      </w:r>
    </w:p>
    <w:p>
      <w:pPr>
        <w:keepNext w:val="0"/>
        <w:keepLines w:val="0"/>
        <w:pageBreakBefore w:val="0"/>
        <w:numPr>
          <w:ilvl w:val="0"/>
          <w:numId w:val="0"/>
        </w:numPr>
        <w:kinsoku/>
        <w:overflowPunct/>
        <w:topLinePunct w:val="0"/>
        <w:autoSpaceDE/>
        <w:autoSpaceDN/>
        <w:bidi w:val="0"/>
        <w:adjustRightInd w:val="0"/>
        <w:snapToGrid w:val="0"/>
        <w:spacing w:line="590" w:lineRule="exact"/>
        <w:ind w:firstLine="640" w:firstLineChars="200"/>
        <w:jc w:val="both"/>
        <w:textAlignment w:val="auto"/>
        <w:rPr>
          <w:rFonts w:hint="eastAsia" w:ascii="仿宋_GB2312" w:hAnsi="Times New Roman" w:eastAsia="仿宋_GB2312" w:cs="仿宋_GB2312"/>
          <w:color w:val="auto"/>
          <w:kern w:val="2"/>
          <w:sz w:val="32"/>
          <w:szCs w:val="32"/>
          <w:u w:val="none"/>
          <w:lang w:val="en-US" w:eastAsia="zh-CN"/>
        </w:rPr>
      </w:pPr>
      <w:r>
        <w:rPr>
          <w:rFonts w:hint="eastAsia" w:ascii="仿宋_GB2312" w:hAnsi="Times New Roman" w:eastAsia="仿宋_GB2312" w:cs="仿宋_GB2312"/>
          <w:b/>
          <w:bCs/>
          <w:color w:val="auto"/>
          <w:kern w:val="2"/>
          <w:sz w:val="32"/>
          <w:szCs w:val="32"/>
          <w:u w:val="none"/>
          <w:lang w:val="en-US" w:eastAsia="zh-CN"/>
        </w:rPr>
        <w:t>第十三条（实施检查）</w:t>
      </w:r>
      <w:r>
        <w:rPr>
          <w:rFonts w:hint="eastAsia" w:ascii="仿宋_GB2312" w:hAnsi="Times New Roman" w:eastAsia="仿宋_GB2312" w:cs="仿宋_GB2312"/>
          <w:color w:val="auto"/>
          <w:kern w:val="2"/>
          <w:sz w:val="32"/>
          <w:szCs w:val="32"/>
          <w:u w:val="none"/>
          <w:lang w:val="en-US" w:eastAsia="zh-CN"/>
        </w:rPr>
        <w:t>核查中心应当按照法律法规、规范、标准和省局有关规定程序组织检查组，依据“风险管理、全程管控、合并检查、合理覆盖”的原则，根据药品品种特点，结合药品安全风险警示信息、重大药品安全事件等，以及检查申请人既往检查、检验、不良反应监测、投诉举报情况、年度报告等确定检查方式、编制检查方案，并实施检查。</w:t>
      </w:r>
    </w:p>
    <w:p>
      <w:pPr>
        <w:keepNext w:val="0"/>
        <w:keepLines w:val="0"/>
        <w:pageBreakBefore w:val="0"/>
        <w:numPr>
          <w:ilvl w:val="0"/>
          <w:numId w:val="0"/>
        </w:numPr>
        <w:kinsoku/>
        <w:overflowPunct/>
        <w:topLinePunct w:val="0"/>
        <w:autoSpaceDE/>
        <w:autoSpaceDN/>
        <w:bidi w:val="0"/>
        <w:adjustRightInd w:val="0"/>
        <w:snapToGrid w:val="0"/>
        <w:spacing w:line="590" w:lineRule="exact"/>
        <w:ind w:firstLine="640" w:firstLineChars="200"/>
        <w:jc w:val="both"/>
        <w:textAlignment w:val="auto"/>
        <w:rPr>
          <w:rFonts w:hint="eastAsia" w:ascii="仿宋_GB2312" w:hAnsi="Times New Roman" w:eastAsia="仿宋_GB2312" w:cs="仿宋_GB2312"/>
          <w:color w:val="auto"/>
          <w:kern w:val="2"/>
          <w:sz w:val="32"/>
          <w:szCs w:val="32"/>
          <w:u w:val="none"/>
          <w:lang w:val="en-US" w:eastAsia="zh-CN"/>
        </w:rPr>
      </w:pPr>
      <w:r>
        <w:rPr>
          <w:rFonts w:hint="eastAsia" w:ascii="仿宋_GB2312" w:hAnsi="Times New Roman" w:eastAsia="仿宋_GB2312" w:cs="仿宋_GB2312"/>
          <w:color w:val="auto"/>
          <w:kern w:val="2"/>
          <w:sz w:val="32"/>
          <w:szCs w:val="32"/>
          <w:u w:val="none"/>
          <w:lang w:val="en-US" w:eastAsia="zh-CN"/>
        </w:rPr>
        <w:t>必要时，可开展延伸检查或跨省检查或协查。</w:t>
      </w:r>
    </w:p>
    <w:p>
      <w:pPr>
        <w:keepNext w:val="0"/>
        <w:keepLines w:val="0"/>
        <w:pageBreakBefore w:val="0"/>
        <w:numPr>
          <w:ilvl w:val="0"/>
          <w:numId w:val="0"/>
        </w:numPr>
        <w:kinsoku/>
        <w:overflowPunct/>
        <w:topLinePunct w:val="0"/>
        <w:autoSpaceDE/>
        <w:autoSpaceDN/>
        <w:bidi w:val="0"/>
        <w:adjustRightInd w:val="0"/>
        <w:snapToGrid w:val="0"/>
        <w:spacing w:line="590" w:lineRule="exact"/>
        <w:ind w:firstLine="640" w:firstLineChars="200"/>
        <w:jc w:val="both"/>
        <w:textAlignment w:val="auto"/>
        <w:rPr>
          <w:rFonts w:hint="eastAsia" w:ascii="仿宋_GB2312" w:hAnsi="Times New Roman" w:eastAsia="仿宋_GB2312" w:cs="仿宋_GB2312"/>
          <w:color w:val="auto"/>
          <w:kern w:val="2"/>
          <w:sz w:val="32"/>
          <w:szCs w:val="32"/>
          <w:u w:val="none"/>
          <w:lang w:val="en-US" w:eastAsia="zh-CN"/>
        </w:rPr>
      </w:pPr>
      <w:r>
        <w:rPr>
          <w:rFonts w:hint="eastAsia" w:ascii="仿宋_GB2312" w:hAnsi="Times New Roman" w:eastAsia="仿宋_GB2312" w:cs="仿宋_GB2312"/>
          <w:b/>
          <w:bCs/>
          <w:color w:val="auto"/>
          <w:kern w:val="2"/>
          <w:sz w:val="32"/>
          <w:szCs w:val="32"/>
          <w:u w:val="none"/>
          <w:lang w:val="en-US" w:eastAsia="zh-CN"/>
        </w:rPr>
        <w:t>第十四条（检查方式）</w:t>
      </w:r>
      <w:r>
        <w:rPr>
          <w:rFonts w:hint="eastAsia" w:ascii="仿宋_GB2312" w:hAnsi="Times New Roman" w:eastAsia="仿宋_GB2312" w:cs="仿宋_GB2312"/>
          <w:color w:val="auto"/>
          <w:kern w:val="2"/>
          <w:sz w:val="32"/>
          <w:szCs w:val="32"/>
          <w:u w:val="none"/>
          <w:lang w:val="en-US" w:eastAsia="zh-CN"/>
        </w:rPr>
        <w:t>依据风险管理原则研判，核查中心可以视情采取现场检查、远程检查、书面材料审查等单一或混合检查方法。</w:t>
      </w:r>
    </w:p>
    <w:p>
      <w:pPr>
        <w:keepNext w:val="0"/>
        <w:keepLines w:val="0"/>
        <w:pageBreakBefore w:val="0"/>
        <w:numPr>
          <w:ilvl w:val="0"/>
          <w:numId w:val="0"/>
        </w:numPr>
        <w:kinsoku/>
        <w:overflowPunct/>
        <w:topLinePunct w:val="0"/>
        <w:autoSpaceDE/>
        <w:autoSpaceDN/>
        <w:bidi w:val="0"/>
        <w:adjustRightInd w:val="0"/>
        <w:snapToGrid w:val="0"/>
        <w:spacing w:line="590" w:lineRule="exact"/>
        <w:ind w:firstLine="640" w:firstLineChars="200"/>
        <w:jc w:val="both"/>
        <w:textAlignment w:val="auto"/>
        <w:rPr>
          <w:rFonts w:hint="eastAsia" w:ascii="仿宋_GB2312" w:hAnsi="Times New Roman" w:eastAsia="仿宋_GB2312" w:cs="仿宋_GB2312"/>
          <w:color w:val="auto"/>
          <w:kern w:val="2"/>
          <w:sz w:val="32"/>
          <w:szCs w:val="32"/>
          <w:u w:val="none"/>
          <w:lang w:val="en-US" w:eastAsia="zh-CN"/>
        </w:rPr>
      </w:pPr>
      <w:r>
        <w:rPr>
          <w:rFonts w:hint="eastAsia" w:ascii="仿宋_GB2312" w:hAnsi="Times New Roman" w:eastAsia="仿宋_GB2312" w:cs="仿宋_GB2312"/>
          <w:color w:val="auto"/>
          <w:kern w:val="2"/>
          <w:sz w:val="32"/>
          <w:szCs w:val="32"/>
          <w:u w:val="none"/>
          <w:lang w:val="en-US" w:eastAsia="zh-CN"/>
        </w:rPr>
        <w:t>符合以下情形之一的，可以仅进行书面材料审查，必要时对部分工序或环节开展现场检查、远程检查等补充检查：</w:t>
      </w:r>
    </w:p>
    <w:p>
      <w:pPr>
        <w:keepNext w:val="0"/>
        <w:keepLines w:val="0"/>
        <w:pageBreakBefore w:val="0"/>
        <w:numPr>
          <w:ilvl w:val="0"/>
          <w:numId w:val="0"/>
        </w:numPr>
        <w:kinsoku/>
        <w:overflowPunct/>
        <w:topLinePunct w:val="0"/>
        <w:autoSpaceDE/>
        <w:autoSpaceDN/>
        <w:bidi w:val="0"/>
        <w:adjustRightInd w:val="0"/>
        <w:snapToGrid w:val="0"/>
        <w:spacing w:line="590" w:lineRule="exact"/>
        <w:ind w:firstLine="640" w:firstLineChars="200"/>
        <w:jc w:val="both"/>
        <w:textAlignment w:val="auto"/>
        <w:rPr>
          <w:rFonts w:hint="eastAsia" w:ascii="仿宋_GB2312" w:hAnsi="Times New Roman" w:eastAsia="仿宋_GB2312" w:cs="仿宋_GB2312"/>
          <w:color w:val="auto"/>
          <w:kern w:val="2"/>
          <w:sz w:val="32"/>
          <w:szCs w:val="32"/>
          <w:u w:val="none"/>
          <w:lang w:val="en-US" w:eastAsia="zh-CN"/>
        </w:rPr>
      </w:pPr>
      <w:r>
        <w:rPr>
          <w:rFonts w:hint="eastAsia" w:ascii="仿宋_GB2312" w:hAnsi="Times New Roman" w:eastAsia="仿宋_GB2312" w:cs="仿宋_GB2312"/>
          <w:color w:val="auto"/>
          <w:kern w:val="2"/>
          <w:sz w:val="32"/>
          <w:szCs w:val="32"/>
          <w:u w:val="none"/>
          <w:lang w:val="en-US" w:eastAsia="zh-CN"/>
        </w:rPr>
        <w:t>（一）年度生产质量管理信用评定达最优等级的省内检查申请人因跨省检查、延伸检查、原料药出口欧盟等申请GMP符合性检查的；</w:t>
      </w:r>
    </w:p>
    <w:p>
      <w:pPr>
        <w:keepNext w:val="0"/>
        <w:keepLines w:val="0"/>
        <w:pageBreakBefore w:val="0"/>
        <w:numPr>
          <w:ilvl w:val="0"/>
          <w:numId w:val="0"/>
        </w:numPr>
        <w:kinsoku/>
        <w:overflowPunct/>
        <w:topLinePunct w:val="0"/>
        <w:autoSpaceDE/>
        <w:autoSpaceDN/>
        <w:bidi w:val="0"/>
        <w:adjustRightInd w:val="0"/>
        <w:snapToGrid w:val="0"/>
        <w:spacing w:line="590" w:lineRule="exact"/>
        <w:ind w:firstLine="640" w:firstLineChars="200"/>
        <w:jc w:val="both"/>
        <w:textAlignment w:val="auto"/>
        <w:rPr>
          <w:rFonts w:hint="eastAsia" w:ascii="仿宋_GB2312" w:hAnsi="Times New Roman" w:eastAsia="仿宋_GB2312" w:cs="仿宋_GB2312"/>
          <w:color w:val="auto"/>
          <w:kern w:val="2"/>
          <w:sz w:val="32"/>
          <w:szCs w:val="32"/>
          <w:u w:val="none"/>
          <w:lang w:val="en-US" w:eastAsia="zh-CN"/>
        </w:rPr>
      </w:pPr>
      <w:r>
        <w:rPr>
          <w:rFonts w:hint="eastAsia" w:ascii="仿宋_GB2312" w:hAnsi="Times New Roman" w:eastAsia="仿宋_GB2312" w:cs="仿宋_GB2312"/>
          <w:color w:val="auto"/>
          <w:kern w:val="2"/>
          <w:sz w:val="32"/>
          <w:szCs w:val="32"/>
          <w:u w:val="none"/>
          <w:lang w:val="en-US" w:eastAsia="zh-CN"/>
        </w:rPr>
        <w:t>（二）因不可抗力原因急需现场检查但检查组无法到达现场、检查申请人具备远程等非现场检查条件的；</w:t>
      </w:r>
    </w:p>
    <w:p>
      <w:pPr>
        <w:keepNext w:val="0"/>
        <w:keepLines w:val="0"/>
        <w:pageBreakBefore w:val="0"/>
        <w:numPr>
          <w:ilvl w:val="0"/>
          <w:numId w:val="0"/>
        </w:numPr>
        <w:kinsoku/>
        <w:overflowPunct/>
        <w:topLinePunct w:val="0"/>
        <w:autoSpaceDE/>
        <w:autoSpaceDN/>
        <w:bidi w:val="0"/>
        <w:adjustRightInd w:val="0"/>
        <w:snapToGrid w:val="0"/>
        <w:spacing w:line="590" w:lineRule="exact"/>
        <w:ind w:firstLine="640" w:firstLineChars="200"/>
        <w:jc w:val="both"/>
        <w:textAlignment w:val="auto"/>
        <w:rPr>
          <w:rFonts w:hint="eastAsia" w:ascii="仿宋_GB2312" w:hAnsi="Times New Roman" w:eastAsia="仿宋_GB2312" w:cs="仿宋_GB2312"/>
          <w:color w:val="auto"/>
          <w:kern w:val="2"/>
          <w:sz w:val="32"/>
          <w:szCs w:val="32"/>
          <w:u w:val="none"/>
          <w:lang w:val="en-US" w:eastAsia="zh-CN"/>
        </w:rPr>
      </w:pPr>
      <w:r>
        <w:rPr>
          <w:rFonts w:hint="eastAsia" w:ascii="仿宋_GB2312" w:hAnsi="Times New Roman" w:eastAsia="仿宋_GB2312" w:cs="仿宋_GB2312"/>
          <w:color w:val="auto"/>
          <w:kern w:val="2"/>
          <w:sz w:val="32"/>
          <w:szCs w:val="32"/>
          <w:u w:val="none"/>
          <w:lang w:val="en-US" w:eastAsia="zh-CN"/>
        </w:rPr>
        <w:t>（三）其他可以通过远程检查、书面审核等非现场检查方式达到检查预期目的且检查质量可控的；</w:t>
      </w:r>
    </w:p>
    <w:p>
      <w:pPr>
        <w:pStyle w:val="8"/>
        <w:keepNext w:val="0"/>
        <w:keepLines w:val="0"/>
        <w:pageBreakBefore w:val="0"/>
        <w:widowControl w:val="0"/>
        <w:kinsoku/>
        <w:overflowPunct/>
        <w:topLinePunct w:val="0"/>
        <w:autoSpaceDE/>
        <w:autoSpaceDN/>
        <w:bidi w:val="0"/>
        <w:adjustRightInd w:val="0"/>
        <w:snapToGrid w:val="0"/>
        <w:spacing w:before="0" w:beforeAutospacing="0" w:after="0" w:afterAutospacing="0" w:line="590" w:lineRule="exact"/>
        <w:ind w:firstLine="640" w:firstLineChars="200"/>
        <w:jc w:val="both"/>
        <w:textAlignment w:val="auto"/>
        <w:rPr>
          <w:rFonts w:hint="eastAsia" w:ascii="仿宋_GB2312" w:hAnsi="Times New Roman" w:eastAsia="仿宋_GB2312" w:cs="仿宋_GB2312"/>
          <w:color w:val="auto"/>
          <w:kern w:val="2"/>
          <w:sz w:val="32"/>
          <w:szCs w:val="32"/>
          <w:u w:val="none"/>
          <w:lang w:val="en-US" w:eastAsia="zh-CN"/>
        </w:rPr>
      </w:pPr>
      <w:r>
        <w:rPr>
          <w:rFonts w:hint="eastAsia" w:ascii="仿宋_GB2312" w:hAnsi="Times New Roman" w:eastAsia="仿宋_GB2312" w:cs="仿宋_GB2312"/>
          <w:b/>
          <w:bCs/>
          <w:color w:val="auto"/>
          <w:kern w:val="2"/>
          <w:sz w:val="32"/>
          <w:szCs w:val="32"/>
          <w:u w:val="none"/>
          <w:lang w:eastAsia="zh-CN"/>
        </w:rPr>
        <w:t>第十五条（检查时限）</w:t>
      </w:r>
      <w:r>
        <w:rPr>
          <w:rFonts w:hint="eastAsia" w:ascii="仿宋_GB2312" w:hAnsi="Times New Roman" w:eastAsia="仿宋_GB2312" w:cs="仿宋_GB2312"/>
          <w:color w:val="auto"/>
          <w:kern w:val="2"/>
          <w:sz w:val="32"/>
          <w:szCs w:val="32"/>
          <w:u w:val="none"/>
          <w:lang w:val="en-US" w:eastAsia="zh-CN"/>
        </w:rPr>
        <w:t xml:space="preserve"> 核查中心原则上应当自检查申请受理之日起40个工作日内完成现场检查。需要整改后复查的，检查分局收到检查申请人整改报告后应当及时复查。</w:t>
      </w:r>
    </w:p>
    <w:p>
      <w:pPr>
        <w:pStyle w:val="8"/>
        <w:keepNext w:val="0"/>
        <w:keepLines w:val="0"/>
        <w:pageBreakBefore w:val="0"/>
        <w:widowControl w:val="0"/>
        <w:kinsoku/>
        <w:overflowPunct/>
        <w:topLinePunct w:val="0"/>
        <w:autoSpaceDE/>
        <w:autoSpaceDN/>
        <w:bidi w:val="0"/>
        <w:adjustRightInd w:val="0"/>
        <w:snapToGrid w:val="0"/>
        <w:spacing w:before="0" w:beforeAutospacing="0" w:after="0" w:afterAutospacing="0" w:line="590" w:lineRule="exact"/>
        <w:ind w:firstLine="640" w:firstLineChars="200"/>
        <w:jc w:val="both"/>
        <w:textAlignment w:val="auto"/>
        <w:rPr>
          <w:rFonts w:hint="eastAsia" w:ascii="仿宋_GB2312" w:hAnsi="Times New Roman" w:eastAsia="仿宋_GB2312" w:cs="仿宋_GB2312"/>
          <w:color w:val="auto"/>
          <w:kern w:val="2"/>
          <w:sz w:val="32"/>
          <w:szCs w:val="32"/>
          <w:u w:val="none"/>
          <w:lang w:val="en-US" w:eastAsia="zh-CN"/>
        </w:rPr>
      </w:pPr>
      <w:r>
        <w:rPr>
          <w:rFonts w:hint="eastAsia" w:ascii="仿宋_GB2312" w:hAnsi="Times New Roman" w:eastAsia="仿宋_GB2312" w:cs="仿宋_GB2312"/>
          <w:color w:val="auto"/>
          <w:kern w:val="2"/>
          <w:sz w:val="32"/>
          <w:szCs w:val="32"/>
          <w:u w:val="none"/>
          <w:lang w:val="en-US" w:eastAsia="zh-CN"/>
        </w:rPr>
        <w:t>检查申请人有正当理由申请检查延期、疫苗等生物制品需要分阶段准备时间、检查后整改时间、专家审评时间不计入上述时限内。</w:t>
      </w:r>
    </w:p>
    <w:p>
      <w:pPr>
        <w:keepNext w:val="0"/>
        <w:keepLines w:val="0"/>
        <w:pageBreakBefore w:val="0"/>
        <w:numPr>
          <w:ilvl w:val="0"/>
          <w:numId w:val="0"/>
        </w:numPr>
        <w:kinsoku/>
        <w:overflowPunct/>
        <w:topLinePunct w:val="0"/>
        <w:autoSpaceDE/>
        <w:autoSpaceDN/>
        <w:bidi w:val="0"/>
        <w:adjustRightInd w:val="0"/>
        <w:snapToGrid w:val="0"/>
        <w:spacing w:line="590" w:lineRule="exact"/>
        <w:ind w:firstLine="640" w:firstLineChars="200"/>
        <w:jc w:val="both"/>
        <w:textAlignment w:val="auto"/>
        <w:rPr>
          <w:rFonts w:hint="eastAsia" w:ascii="仿宋_GB2312" w:hAnsi="Times New Roman" w:eastAsia="仿宋_GB2312" w:cs="仿宋_GB2312"/>
          <w:color w:val="auto"/>
          <w:kern w:val="2"/>
          <w:sz w:val="32"/>
          <w:szCs w:val="32"/>
          <w:u w:val="none"/>
          <w:lang w:val="zh-TW" w:eastAsia="zh-TW"/>
        </w:rPr>
      </w:pPr>
      <w:r>
        <w:rPr>
          <w:rFonts w:hint="eastAsia" w:ascii="仿宋_GB2312" w:hAnsi="Times New Roman" w:eastAsia="仿宋_GB2312" w:cs="仿宋_GB2312"/>
          <w:b/>
          <w:bCs/>
          <w:color w:val="auto"/>
          <w:kern w:val="2"/>
          <w:sz w:val="32"/>
          <w:szCs w:val="32"/>
          <w:u w:val="none"/>
          <w:lang w:val="en-US" w:eastAsia="zh-CN"/>
        </w:rPr>
        <w:t>第十六条（检查结论认定依据）</w:t>
      </w:r>
      <w:r>
        <w:rPr>
          <w:rFonts w:hint="eastAsia" w:ascii="仿宋_GB2312" w:hAnsi="Times New Roman" w:eastAsia="仿宋_GB2312" w:cs="仿宋_GB2312"/>
          <w:color w:val="auto"/>
          <w:kern w:val="2"/>
          <w:sz w:val="32"/>
          <w:szCs w:val="32"/>
          <w:u w:val="none"/>
          <w:lang w:val="en-US" w:eastAsia="zh-CN"/>
        </w:rPr>
        <w:t xml:space="preserve"> 检查组应当依据《药品生产现场检查风险评定指导原则》《药品检查管理办法（试行）》第二十七条等规定确定检查缺陷的风险等级和现场检查结论。</w:t>
      </w:r>
    </w:p>
    <w:p>
      <w:pPr>
        <w:keepNext w:val="0"/>
        <w:keepLines w:val="0"/>
        <w:pageBreakBefore w:val="0"/>
        <w:numPr>
          <w:ilvl w:val="0"/>
          <w:numId w:val="0"/>
        </w:numPr>
        <w:kinsoku/>
        <w:overflowPunct/>
        <w:topLinePunct w:val="0"/>
        <w:autoSpaceDE/>
        <w:autoSpaceDN/>
        <w:bidi w:val="0"/>
        <w:adjustRightInd w:val="0"/>
        <w:snapToGrid w:val="0"/>
        <w:spacing w:line="590" w:lineRule="exact"/>
        <w:ind w:firstLine="640" w:firstLineChars="200"/>
        <w:jc w:val="both"/>
        <w:textAlignment w:val="auto"/>
        <w:rPr>
          <w:rFonts w:hint="eastAsia" w:ascii="仿宋_GB2312" w:hAnsi="Times New Roman" w:eastAsia="仿宋_GB2312" w:cs="仿宋_GB2312"/>
          <w:color w:val="auto"/>
          <w:kern w:val="2"/>
          <w:sz w:val="32"/>
          <w:szCs w:val="32"/>
          <w:u w:val="none"/>
          <w:lang w:val="en-US" w:eastAsia="zh-CN"/>
        </w:rPr>
      </w:pPr>
      <w:r>
        <w:rPr>
          <w:rFonts w:hint="eastAsia" w:ascii="仿宋_GB2312" w:hAnsi="Times New Roman" w:eastAsia="仿宋_GB2312" w:cs="仿宋_GB2312"/>
          <w:color w:val="auto"/>
          <w:kern w:val="2"/>
          <w:sz w:val="32"/>
          <w:szCs w:val="32"/>
          <w:u w:val="none"/>
          <w:lang w:val="en-US" w:eastAsia="zh-CN"/>
        </w:rPr>
        <w:t>检查缺陷依风险等级降低依次分为严重缺陷、主要缺陷和一般缺陷。现场检查结论和综合评定结论依次分为符合要求、基本符合要求和不符合要求。</w:t>
      </w:r>
    </w:p>
    <w:p>
      <w:pPr>
        <w:keepNext w:val="0"/>
        <w:keepLines w:val="0"/>
        <w:pageBreakBefore w:val="0"/>
        <w:numPr>
          <w:ilvl w:val="0"/>
          <w:numId w:val="0"/>
        </w:numPr>
        <w:kinsoku/>
        <w:overflowPunct/>
        <w:topLinePunct w:val="0"/>
        <w:autoSpaceDE/>
        <w:autoSpaceDN/>
        <w:bidi w:val="0"/>
        <w:adjustRightInd w:val="0"/>
        <w:snapToGrid w:val="0"/>
        <w:spacing w:line="590" w:lineRule="exact"/>
        <w:ind w:firstLine="640" w:firstLineChars="200"/>
        <w:jc w:val="both"/>
        <w:textAlignment w:val="auto"/>
        <w:rPr>
          <w:rFonts w:hint="eastAsia" w:ascii="仿宋_GB2312" w:hAnsi="Times New Roman" w:eastAsia="仿宋_GB2312" w:cs="仿宋_GB2312"/>
          <w:color w:val="auto"/>
          <w:kern w:val="2"/>
          <w:sz w:val="32"/>
          <w:szCs w:val="32"/>
          <w:u w:val="none"/>
          <w:lang w:val="en-US" w:eastAsia="zh-CN"/>
        </w:rPr>
      </w:pPr>
      <w:r>
        <w:rPr>
          <w:rFonts w:hint="eastAsia" w:ascii="仿宋_GB2312" w:hAnsi="Times New Roman" w:eastAsia="仿宋_GB2312" w:cs="仿宋_GB2312"/>
          <w:b/>
          <w:bCs/>
          <w:color w:val="auto"/>
          <w:kern w:val="2"/>
          <w:sz w:val="32"/>
          <w:szCs w:val="32"/>
          <w:u w:val="none"/>
          <w:lang w:val="en-US" w:eastAsia="zh-CN"/>
        </w:rPr>
        <w:t>第十七条</w:t>
      </w:r>
      <w:r>
        <w:rPr>
          <w:rFonts w:hint="eastAsia" w:ascii="仿宋_GB2312" w:hAnsi="Times New Roman" w:eastAsia="仿宋_GB2312" w:cs="仿宋_GB2312"/>
          <w:color w:val="auto"/>
          <w:kern w:val="2"/>
          <w:sz w:val="32"/>
          <w:szCs w:val="32"/>
          <w:u w:val="none"/>
          <w:lang w:val="en-US" w:eastAsia="zh-CN"/>
        </w:rPr>
        <w:t xml:space="preserve"> </w:t>
      </w:r>
      <w:r>
        <w:rPr>
          <w:rFonts w:hint="eastAsia" w:ascii="仿宋_GB2312" w:hAnsi="Times New Roman" w:eastAsia="仿宋_GB2312" w:cs="仿宋_GB2312"/>
          <w:b/>
          <w:bCs/>
          <w:color w:val="auto"/>
          <w:kern w:val="2"/>
          <w:sz w:val="32"/>
          <w:szCs w:val="32"/>
          <w:u w:val="none"/>
          <w:lang w:val="en-US" w:eastAsia="zh-CN"/>
        </w:rPr>
        <w:t>（检查缺陷通报与异议）</w:t>
      </w:r>
      <w:r>
        <w:rPr>
          <w:rFonts w:hint="eastAsia" w:ascii="仿宋_GB2312" w:hAnsi="Times New Roman" w:eastAsia="仿宋_GB2312" w:cs="仿宋_GB2312"/>
          <w:color w:val="auto"/>
          <w:kern w:val="2"/>
          <w:sz w:val="32"/>
          <w:szCs w:val="32"/>
          <w:u w:val="none"/>
          <w:lang w:val="en-US" w:eastAsia="zh-CN"/>
        </w:rPr>
        <w:t>检查结束后，检查组应当向检查申请人通报、确认现场检查情况（包括但不限于检查缺陷项目、风险等级、建议的现场检查结论和检查结果处理建议）。</w:t>
      </w:r>
    </w:p>
    <w:p>
      <w:pPr>
        <w:keepNext w:val="0"/>
        <w:keepLines w:val="0"/>
        <w:pageBreakBefore w:val="0"/>
        <w:numPr>
          <w:ilvl w:val="0"/>
          <w:numId w:val="0"/>
        </w:numPr>
        <w:kinsoku/>
        <w:overflowPunct/>
        <w:topLinePunct w:val="0"/>
        <w:autoSpaceDE/>
        <w:autoSpaceDN/>
        <w:bidi w:val="0"/>
        <w:adjustRightInd w:val="0"/>
        <w:snapToGrid w:val="0"/>
        <w:spacing w:line="590" w:lineRule="exact"/>
        <w:ind w:firstLine="640" w:firstLineChars="200"/>
        <w:jc w:val="both"/>
        <w:textAlignment w:val="auto"/>
        <w:rPr>
          <w:rFonts w:hint="eastAsia" w:ascii="仿宋_GB2312" w:hAnsi="Times New Roman" w:eastAsia="仿宋_GB2312" w:cs="仿宋_GB2312"/>
          <w:color w:val="auto"/>
          <w:kern w:val="2"/>
          <w:sz w:val="32"/>
          <w:szCs w:val="32"/>
          <w:u w:val="none"/>
          <w:lang w:val="en-US" w:eastAsia="zh-CN"/>
        </w:rPr>
      </w:pPr>
      <w:r>
        <w:rPr>
          <w:rFonts w:hint="eastAsia" w:ascii="仿宋_GB2312" w:hAnsi="Times New Roman" w:eastAsia="仿宋_GB2312" w:cs="仿宋_GB2312"/>
          <w:color w:val="auto"/>
          <w:kern w:val="2"/>
          <w:sz w:val="32"/>
          <w:szCs w:val="32"/>
          <w:u w:val="none"/>
          <w:lang w:val="en-US" w:eastAsia="zh-CN"/>
        </w:rPr>
        <w:t>检查申请人有异议的，可以当场提出、提交证据和书面材料进行陈述申辩。检查组应当如实记录，并结合陈述申辩内容，客观、公平、公正地确定检查缺陷并合理分级。</w:t>
      </w:r>
    </w:p>
    <w:p>
      <w:pPr>
        <w:keepNext w:val="0"/>
        <w:keepLines w:val="0"/>
        <w:pageBreakBefore w:val="0"/>
        <w:numPr>
          <w:ilvl w:val="0"/>
          <w:numId w:val="0"/>
        </w:numPr>
        <w:kinsoku/>
        <w:overflowPunct/>
        <w:topLinePunct w:val="0"/>
        <w:autoSpaceDE/>
        <w:autoSpaceDN/>
        <w:bidi w:val="0"/>
        <w:adjustRightInd w:val="0"/>
        <w:snapToGrid w:val="0"/>
        <w:spacing w:line="590" w:lineRule="exact"/>
        <w:ind w:firstLine="640" w:firstLineChars="200"/>
        <w:jc w:val="both"/>
        <w:textAlignment w:val="auto"/>
        <w:rPr>
          <w:rFonts w:hint="eastAsia" w:ascii="仿宋_GB2312" w:hAnsi="Times New Roman" w:eastAsia="仿宋_GB2312" w:cs="仿宋_GB2312"/>
          <w:color w:val="auto"/>
          <w:kern w:val="2"/>
          <w:sz w:val="32"/>
          <w:szCs w:val="32"/>
          <w:u w:val="none"/>
          <w:lang w:val="zh-TW" w:eastAsia="zh-CN"/>
        </w:rPr>
      </w:pPr>
      <w:r>
        <w:rPr>
          <w:rFonts w:hint="eastAsia" w:ascii="仿宋_GB2312" w:hAnsi="Times New Roman" w:eastAsia="仿宋_GB2312" w:cs="仿宋_GB2312"/>
          <w:b/>
          <w:bCs/>
          <w:color w:val="auto"/>
          <w:kern w:val="2"/>
          <w:sz w:val="32"/>
          <w:szCs w:val="32"/>
          <w:u w:val="none"/>
          <w:lang w:val="en-US" w:eastAsia="zh-CN"/>
        </w:rPr>
        <w:t>第十八条（检查缺陷确认）</w:t>
      </w:r>
      <w:r>
        <w:rPr>
          <w:rFonts w:hint="eastAsia" w:ascii="仿宋_GB2312" w:hAnsi="Times New Roman" w:eastAsia="仿宋_GB2312" w:cs="仿宋_GB2312"/>
          <w:color w:val="auto"/>
          <w:kern w:val="2"/>
          <w:sz w:val="32"/>
          <w:szCs w:val="32"/>
          <w:u w:val="none"/>
          <w:lang w:val="en-US" w:eastAsia="zh-CN"/>
        </w:rPr>
        <w:t>检查缺陷及其风险等级、处理建议等应形成书面的江苏省药品监督检查缺陷情况表，并</w:t>
      </w:r>
      <w:r>
        <w:rPr>
          <w:rFonts w:hint="eastAsia" w:ascii="仿宋_GB2312" w:hAnsi="Times New Roman" w:eastAsia="仿宋_GB2312" w:cs="仿宋_GB2312"/>
          <w:color w:val="auto"/>
          <w:kern w:val="2"/>
          <w:sz w:val="32"/>
          <w:szCs w:val="32"/>
          <w:u w:val="none"/>
          <w:lang w:val="zh-TW" w:eastAsia="zh-CN"/>
        </w:rPr>
        <w:t>经检查组全体成员和检查申请企业法定代表人、主要负责人或其授权的负责人签字确认。</w:t>
      </w:r>
    </w:p>
    <w:p>
      <w:pPr>
        <w:keepNext w:val="0"/>
        <w:keepLines w:val="0"/>
        <w:pageBreakBefore w:val="0"/>
        <w:numPr>
          <w:ilvl w:val="0"/>
          <w:numId w:val="0"/>
        </w:numPr>
        <w:kinsoku/>
        <w:overflowPunct/>
        <w:topLinePunct w:val="0"/>
        <w:autoSpaceDE/>
        <w:autoSpaceDN/>
        <w:bidi w:val="0"/>
        <w:adjustRightInd w:val="0"/>
        <w:snapToGrid w:val="0"/>
        <w:spacing w:line="590" w:lineRule="exact"/>
        <w:ind w:firstLine="640" w:firstLineChars="200"/>
        <w:jc w:val="both"/>
        <w:textAlignment w:val="auto"/>
        <w:rPr>
          <w:rFonts w:hint="eastAsia" w:ascii="仿宋_GB2312" w:hAnsi="Times New Roman" w:eastAsia="仿宋_GB2312" w:cs="仿宋_GB2312"/>
          <w:color w:val="auto"/>
          <w:kern w:val="2"/>
          <w:sz w:val="32"/>
          <w:szCs w:val="32"/>
          <w:u w:val="none"/>
          <w:lang w:val="zh-TW" w:eastAsia="zh-CN"/>
        </w:rPr>
      </w:pPr>
      <w:r>
        <w:rPr>
          <w:rFonts w:hint="eastAsia" w:ascii="仿宋_GB2312" w:hAnsi="Times New Roman" w:eastAsia="仿宋_GB2312" w:cs="仿宋_GB2312"/>
          <w:color w:val="auto"/>
          <w:kern w:val="2"/>
          <w:sz w:val="32"/>
          <w:szCs w:val="32"/>
          <w:u w:val="none"/>
          <w:lang w:val="zh-TW" w:eastAsia="zh-CN"/>
        </w:rPr>
        <w:t>拒绝签字确认的，检查组应在现场检查报告和</w:t>
      </w:r>
      <w:r>
        <w:rPr>
          <w:rFonts w:hint="eastAsia" w:ascii="仿宋_GB2312" w:hAnsi="Times New Roman" w:eastAsia="仿宋_GB2312" w:cs="仿宋_GB2312"/>
          <w:color w:val="auto"/>
          <w:kern w:val="2"/>
          <w:sz w:val="32"/>
          <w:szCs w:val="32"/>
          <w:u w:val="none"/>
          <w:lang w:val="en-US" w:eastAsia="zh-CN"/>
        </w:rPr>
        <w:t>检查缺陷情况表</w:t>
      </w:r>
      <w:r>
        <w:rPr>
          <w:rFonts w:hint="eastAsia" w:ascii="仿宋_GB2312" w:hAnsi="Times New Roman" w:eastAsia="仿宋_GB2312" w:cs="仿宋_GB2312"/>
          <w:color w:val="auto"/>
          <w:kern w:val="2"/>
          <w:sz w:val="32"/>
          <w:szCs w:val="32"/>
          <w:u w:val="none"/>
          <w:lang w:val="zh-TW" w:eastAsia="zh-CN"/>
        </w:rPr>
        <w:t>中注明“被检查单位拒绝签字”字样，并经检查组全体成员签字确认。</w:t>
      </w:r>
    </w:p>
    <w:p>
      <w:pPr>
        <w:keepNext w:val="0"/>
        <w:keepLines w:val="0"/>
        <w:pageBreakBefore w:val="0"/>
        <w:kinsoku/>
        <w:overflowPunct/>
        <w:topLinePunct w:val="0"/>
        <w:autoSpaceDE/>
        <w:autoSpaceDN/>
        <w:bidi w:val="0"/>
        <w:adjustRightInd w:val="0"/>
        <w:snapToGrid w:val="0"/>
        <w:spacing w:line="590" w:lineRule="exact"/>
        <w:ind w:firstLine="640" w:firstLineChars="200"/>
        <w:jc w:val="both"/>
        <w:textAlignment w:val="auto"/>
        <w:rPr>
          <w:rFonts w:hint="eastAsia" w:ascii="仿宋_GB2312" w:hAnsi="Times New Roman" w:eastAsia="仿宋_GB2312" w:cs="仿宋_GB2312"/>
          <w:color w:val="auto"/>
          <w:kern w:val="2"/>
          <w:sz w:val="32"/>
          <w:szCs w:val="32"/>
          <w:u w:val="none"/>
          <w:lang w:val="en-US" w:eastAsia="zh-CN"/>
        </w:rPr>
      </w:pPr>
      <w:r>
        <w:rPr>
          <w:rFonts w:hint="eastAsia" w:ascii="仿宋_GB2312" w:hAnsi="Times New Roman" w:eastAsia="仿宋_GB2312" w:cs="仿宋_GB2312"/>
          <w:b/>
          <w:bCs/>
          <w:color w:val="auto"/>
          <w:kern w:val="2"/>
          <w:sz w:val="32"/>
          <w:szCs w:val="32"/>
          <w:u w:val="none"/>
          <w:lang w:val="en-US" w:eastAsia="zh-CN"/>
        </w:rPr>
        <w:t>第十九条 （整改要求）</w:t>
      </w:r>
      <w:r>
        <w:rPr>
          <w:rFonts w:hint="eastAsia" w:ascii="仿宋_GB2312" w:hAnsi="Times New Roman" w:eastAsia="仿宋_GB2312" w:cs="仿宋_GB2312"/>
          <w:color w:val="auto"/>
          <w:kern w:val="2"/>
          <w:sz w:val="32"/>
          <w:szCs w:val="32"/>
          <w:u w:val="none"/>
          <w:lang w:val="en-US" w:eastAsia="zh-CN"/>
        </w:rPr>
        <w:t>检查申请人应在现场检查结束后20个工作日内完成缺陷项目的整改。无法按期完成整改的，应当制定切实可行的整改计划，并作为对应缺陷的整改完成情况列入整改报告。</w:t>
      </w:r>
    </w:p>
    <w:p>
      <w:pPr>
        <w:keepNext w:val="0"/>
        <w:keepLines w:val="0"/>
        <w:pageBreakBefore w:val="0"/>
        <w:kinsoku/>
        <w:overflowPunct/>
        <w:topLinePunct w:val="0"/>
        <w:autoSpaceDE/>
        <w:autoSpaceDN/>
        <w:bidi w:val="0"/>
        <w:adjustRightInd w:val="0"/>
        <w:snapToGrid w:val="0"/>
        <w:spacing w:line="590" w:lineRule="exact"/>
        <w:ind w:firstLine="640" w:firstLineChars="200"/>
        <w:jc w:val="both"/>
        <w:textAlignment w:val="auto"/>
        <w:rPr>
          <w:rFonts w:hint="eastAsia" w:ascii="仿宋_GB2312" w:hAnsi="Times New Roman" w:eastAsia="仿宋_GB2312" w:cs="仿宋_GB2312"/>
          <w:color w:val="auto"/>
          <w:kern w:val="2"/>
          <w:sz w:val="32"/>
          <w:szCs w:val="32"/>
          <w:u w:val="none"/>
          <w:lang w:val="en-US" w:eastAsia="zh-CN"/>
        </w:rPr>
      </w:pPr>
      <w:r>
        <w:rPr>
          <w:rFonts w:hint="eastAsia" w:ascii="仿宋_GB2312" w:hAnsi="Times New Roman" w:eastAsia="仿宋_GB2312" w:cs="仿宋_GB2312"/>
          <w:color w:val="auto"/>
          <w:kern w:val="2"/>
          <w:sz w:val="32"/>
          <w:szCs w:val="32"/>
          <w:u w:val="none"/>
          <w:lang w:val="en-US" w:eastAsia="zh-CN"/>
        </w:rPr>
        <w:t>检查申请人应在现场检查结束后20个工作日内将整改报告（含整改计划）提交属地检查分局。列入整改计划的，应在计划时限内完成、形成补充整改报告提交属地检查分局。</w:t>
      </w:r>
    </w:p>
    <w:p>
      <w:pPr>
        <w:keepNext w:val="0"/>
        <w:keepLines w:val="0"/>
        <w:pageBreakBefore w:val="0"/>
        <w:kinsoku/>
        <w:overflowPunct/>
        <w:topLinePunct w:val="0"/>
        <w:autoSpaceDE/>
        <w:autoSpaceDN/>
        <w:bidi w:val="0"/>
        <w:adjustRightInd w:val="0"/>
        <w:snapToGrid w:val="0"/>
        <w:spacing w:line="590" w:lineRule="exact"/>
        <w:ind w:firstLine="640" w:firstLineChars="200"/>
        <w:jc w:val="both"/>
        <w:textAlignment w:val="auto"/>
        <w:rPr>
          <w:rFonts w:hint="eastAsia" w:ascii="仿宋_GB2312" w:hAnsi="Times New Roman" w:eastAsia="仿宋_GB2312" w:cs="仿宋_GB2312"/>
          <w:color w:val="auto"/>
          <w:kern w:val="2"/>
          <w:sz w:val="32"/>
          <w:szCs w:val="32"/>
          <w:u w:val="none"/>
          <w:lang w:val="en-US" w:eastAsia="zh-CN"/>
        </w:rPr>
      </w:pPr>
      <w:r>
        <w:rPr>
          <w:rFonts w:hint="eastAsia" w:ascii="仿宋_GB2312" w:hAnsi="Times New Roman" w:eastAsia="仿宋_GB2312" w:cs="仿宋_GB2312"/>
          <w:color w:val="auto"/>
          <w:kern w:val="2"/>
          <w:sz w:val="32"/>
          <w:szCs w:val="32"/>
          <w:u w:val="none"/>
          <w:lang w:val="en-US" w:eastAsia="zh-CN"/>
        </w:rPr>
        <w:t>属地检查分局应对检查申请人整改情况进行审核确认，必要时开展现场检查。整改符合要求的，出具整改确认表，连同整改报告一并报核查中心。</w:t>
      </w:r>
    </w:p>
    <w:p>
      <w:pPr>
        <w:keepNext w:val="0"/>
        <w:keepLines w:val="0"/>
        <w:pageBreakBefore w:val="0"/>
        <w:widowControl w:val="0"/>
        <w:numPr>
          <w:ilvl w:val="0"/>
          <w:numId w:val="0"/>
        </w:numPr>
        <w:suppressLineNumbers w:val="0"/>
        <w:kinsoku/>
        <w:overflowPunct/>
        <w:topLinePunct w:val="0"/>
        <w:autoSpaceDE/>
        <w:autoSpaceDN/>
        <w:bidi w:val="0"/>
        <w:adjustRightInd w:val="0"/>
        <w:snapToGrid w:val="0"/>
        <w:spacing w:before="0" w:beforeAutospacing="0" w:afterAutospacing="0" w:line="590" w:lineRule="exact"/>
        <w:ind w:right="0" w:rightChars="0"/>
        <w:jc w:val="center"/>
        <w:textAlignment w:val="auto"/>
        <w:rPr>
          <w:rFonts w:hint="eastAsia" w:ascii="仿宋_GB2312" w:hAnsi="Times New Roman" w:eastAsia="仿宋_GB2312" w:cs="仿宋_GB2312"/>
          <w:color w:val="auto"/>
          <w:kern w:val="2"/>
          <w:sz w:val="32"/>
          <w:szCs w:val="32"/>
          <w:u w:val="none"/>
          <w:lang w:val="en-US" w:eastAsia="zh-CN"/>
        </w:rPr>
      </w:pPr>
      <w:r>
        <w:rPr>
          <w:rFonts w:hint="eastAsia" w:ascii="黑体" w:hAnsi="黑体" w:eastAsia="黑体" w:cs="黑体"/>
          <w:b w:val="0"/>
          <w:bCs w:val="0"/>
          <w:color w:val="auto"/>
          <w:sz w:val="32"/>
          <w:szCs w:val="32"/>
          <w:u w:val="none"/>
          <w:lang w:val="en-US" w:eastAsia="zh-CN"/>
        </w:rPr>
        <w:t>第四节  结果认定与公告</w:t>
      </w:r>
    </w:p>
    <w:p>
      <w:pPr>
        <w:ind w:firstLine="640" w:firstLineChars="200"/>
        <w:rPr>
          <w:rFonts w:hint="eastAsia" w:ascii="仿宋_GB2312" w:hAnsi="Times New Roman" w:eastAsia="仿宋_GB2312" w:cs="仿宋_GB2312"/>
          <w:color w:val="auto"/>
          <w:kern w:val="2"/>
          <w:sz w:val="32"/>
          <w:szCs w:val="32"/>
          <w:u w:val="none"/>
          <w:lang w:val="en-US" w:eastAsia="zh-CN"/>
        </w:rPr>
      </w:pPr>
      <w:r>
        <w:rPr>
          <w:rFonts w:hint="eastAsia" w:ascii="仿宋_GB2312" w:hAnsi="Times New Roman" w:eastAsia="仿宋_GB2312" w:cs="仿宋_GB2312"/>
          <w:b/>
          <w:bCs/>
          <w:color w:val="auto"/>
          <w:kern w:val="2"/>
          <w:sz w:val="32"/>
          <w:szCs w:val="32"/>
          <w:u w:val="none"/>
          <w:lang w:val="en-US" w:eastAsia="zh-CN"/>
        </w:rPr>
        <w:t>第二十条（检查结果审核）</w:t>
      </w:r>
      <w:r>
        <w:rPr>
          <w:rFonts w:hint="eastAsia" w:ascii="仿宋_GB2312" w:hAnsi="Times New Roman" w:eastAsia="仿宋_GB2312" w:cs="仿宋_GB2312"/>
          <w:color w:val="auto"/>
          <w:sz w:val="32"/>
          <w:szCs w:val="32"/>
          <w:u w:val="none"/>
          <w:lang w:val="en-US" w:eastAsia="zh-CN"/>
        </w:rPr>
        <w:t>收到检查申请人的整改报告和</w:t>
      </w:r>
      <w:r>
        <w:rPr>
          <w:rFonts w:hint="eastAsia" w:ascii="仿宋_GB2312" w:hAnsi="Times New Roman" w:eastAsia="仿宋_GB2312" w:cs="仿宋_GB2312"/>
          <w:color w:val="auto"/>
          <w:sz w:val="32"/>
          <w:szCs w:val="32"/>
          <w:u w:val="none"/>
        </w:rPr>
        <w:t>属地检查分局出具</w:t>
      </w:r>
      <w:r>
        <w:rPr>
          <w:rFonts w:hint="eastAsia" w:ascii="仿宋_GB2312" w:hAnsi="Times New Roman" w:eastAsia="仿宋_GB2312" w:cs="仿宋_GB2312"/>
          <w:color w:val="auto"/>
          <w:sz w:val="32"/>
          <w:szCs w:val="32"/>
          <w:u w:val="none"/>
          <w:lang w:eastAsia="zh-CN"/>
        </w:rPr>
        <w:t>的</w:t>
      </w:r>
      <w:r>
        <w:rPr>
          <w:rFonts w:hint="eastAsia" w:ascii="仿宋_GB2312" w:hAnsi="Times New Roman" w:eastAsia="仿宋_GB2312" w:cs="仿宋_GB2312"/>
          <w:color w:val="auto"/>
          <w:sz w:val="32"/>
          <w:szCs w:val="32"/>
          <w:u w:val="none"/>
        </w:rPr>
        <w:t>整改确认表</w:t>
      </w:r>
      <w:r>
        <w:rPr>
          <w:rFonts w:hint="eastAsia" w:ascii="仿宋_GB2312" w:hAnsi="Times New Roman" w:eastAsia="仿宋_GB2312" w:cs="仿宋_GB2312"/>
          <w:color w:val="auto"/>
          <w:sz w:val="32"/>
          <w:szCs w:val="32"/>
          <w:u w:val="none"/>
          <w:lang w:eastAsia="zh-CN"/>
        </w:rPr>
        <w:t>后，</w:t>
      </w:r>
      <w:r>
        <w:rPr>
          <w:rFonts w:hint="eastAsia" w:ascii="仿宋_GB2312" w:hAnsi="Times New Roman" w:eastAsia="仿宋_GB2312" w:cs="仿宋_GB2312"/>
          <w:color w:val="auto"/>
          <w:kern w:val="2"/>
          <w:sz w:val="32"/>
          <w:szCs w:val="32"/>
          <w:u w:val="none"/>
          <w:lang w:val="en-US" w:eastAsia="zh-CN"/>
        </w:rPr>
        <w:t>核查中心应当在30个工作日内（纳入优先检查的在20个工作日内）完成相关技术审核。</w:t>
      </w:r>
    </w:p>
    <w:p>
      <w:pPr>
        <w:ind w:firstLine="640" w:firstLineChars="200"/>
        <w:rPr>
          <w:rFonts w:hint="eastAsia" w:ascii="仿宋_GB2312" w:hAnsi="Times New Roman" w:eastAsia="仿宋_GB2312" w:cs="仿宋_GB2312"/>
          <w:color w:val="auto"/>
          <w:kern w:val="2"/>
          <w:sz w:val="32"/>
          <w:szCs w:val="32"/>
          <w:u w:val="none"/>
          <w:lang w:val="en-US" w:eastAsia="zh-CN"/>
        </w:rPr>
      </w:pPr>
      <w:r>
        <w:rPr>
          <w:rFonts w:hint="eastAsia" w:ascii="仿宋_GB2312" w:hAnsi="Times New Roman" w:eastAsia="仿宋_GB2312" w:cs="仿宋_GB2312"/>
          <w:color w:val="auto"/>
          <w:kern w:val="2"/>
          <w:sz w:val="32"/>
          <w:szCs w:val="32"/>
          <w:u w:val="none"/>
          <w:lang w:val="en-US" w:eastAsia="zh-CN"/>
        </w:rPr>
        <w:t>现场检查发现问题影响技术审核综合评定，涉及单一问题简要说明的，书面要求检查申请人5日内提交问题书面说明；涉及复杂问题反馈的，书面要求申请人20日内提交问题反馈。申请人逾期未予回复反馈的，核查中心应当基于已有的检查材料等进行技术审核。</w:t>
      </w:r>
    </w:p>
    <w:p>
      <w:pPr>
        <w:ind w:firstLine="640" w:firstLineChars="200"/>
        <w:rPr>
          <w:rFonts w:hint="eastAsia" w:ascii="仿宋_GB2312" w:hAnsi="Times New Roman" w:eastAsia="仿宋_GB2312" w:cs="仿宋_GB2312"/>
          <w:color w:val="auto"/>
          <w:kern w:val="2"/>
          <w:sz w:val="32"/>
          <w:szCs w:val="32"/>
          <w:u w:val="none"/>
          <w:lang w:val="en-US" w:eastAsia="zh-CN"/>
        </w:rPr>
      </w:pPr>
      <w:r>
        <w:rPr>
          <w:rFonts w:hint="eastAsia" w:ascii="仿宋_GB2312" w:hAnsi="Times New Roman" w:eastAsia="仿宋_GB2312" w:cs="仿宋_GB2312"/>
          <w:color w:val="auto"/>
          <w:kern w:val="2"/>
          <w:sz w:val="32"/>
          <w:szCs w:val="32"/>
          <w:u w:val="none"/>
          <w:lang w:val="en-US" w:eastAsia="zh-CN"/>
        </w:rPr>
        <w:t>核查中心应当综合现场检查报告等检查材料、问题说明反馈材料等进行技术审核，必要时还需要结合整改报告及检查分局的确认意见。</w:t>
      </w:r>
    </w:p>
    <w:p>
      <w:pPr>
        <w:ind w:firstLine="640" w:firstLineChars="200"/>
        <w:rPr>
          <w:rFonts w:hint="eastAsia" w:ascii="仿宋_GB2312" w:hAnsi="Times New Roman" w:eastAsia="仿宋_GB2312" w:cs="仿宋_GB2312"/>
          <w:color w:val="auto"/>
          <w:kern w:val="2"/>
          <w:sz w:val="32"/>
          <w:szCs w:val="32"/>
          <w:u w:val="none"/>
          <w:lang w:val="en-US" w:eastAsia="zh-CN"/>
        </w:rPr>
      </w:pPr>
      <w:r>
        <w:rPr>
          <w:rFonts w:hint="eastAsia" w:ascii="仿宋_GB2312" w:hAnsi="Times New Roman" w:eastAsia="仿宋_GB2312" w:cs="仿宋_GB2312"/>
          <w:color w:val="auto"/>
          <w:kern w:val="2"/>
          <w:sz w:val="32"/>
          <w:szCs w:val="32"/>
          <w:u w:val="none"/>
          <w:lang w:val="en-US" w:eastAsia="zh-CN"/>
        </w:rPr>
        <w:t>技术审核综合评定结论与现场检查结论一致，且为“符合或基本符合”或整改后复核结论为“符合或基本符合”的， 直接出具《药品检查综合评定报告书》。技术审核综合评定结论与现场检查结论不一致或整改后复核结论为“不符合要求”，可能影响药品质量安全的，组织召开风险会商会或专家评审会，确定综合评定结论后，出具《药品检查综合评定报告书》报药生处。</w:t>
      </w:r>
    </w:p>
    <w:p>
      <w:pPr>
        <w:ind w:firstLine="640" w:firstLineChars="200"/>
        <w:rPr>
          <w:rFonts w:hint="eastAsia" w:ascii="仿宋_GB2312" w:hAnsi="Times New Roman" w:eastAsia="仿宋_GB2312" w:cs="仿宋_GB2312"/>
          <w:color w:val="auto"/>
          <w:kern w:val="2"/>
          <w:sz w:val="32"/>
          <w:szCs w:val="32"/>
          <w:u w:val="none"/>
          <w:lang w:val="en-US" w:eastAsia="zh-CN"/>
        </w:rPr>
      </w:pPr>
      <w:r>
        <w:rPr>
          <w:rFonts w:hint="eastAsia" w:ascii="仿宋_GB2312" w:hAnsi="Times New Roman" w:eastAsia="仿宋_GB2312" w:cs="仿宋_GB2312"/>
          <w:color w:val="auto"/>
          <w:kern w:val="2"/>
          <w:sz w:val="32"/>
          <w:szCs w:val="32"/>
          <w:u w:val="none"/>
          <w:lang w:val="en-US" w:eastAsia="zh-CN"/>
        </w:rPr>
        <w:t>申请药品上市许可（含原料药关联审评）或变更生产场地的，核查中心还应当连同药品上市许可审评审批结果或场地变更技术审评结果一并报药生处。药品上市许可批准的生产工艺、质量标准与上市前的GMP符合性检查不一致的，核查中心应当组织必要的跟踪检查。</w:t>
      </w:r>
    </w:p>
    <w:p>
      <w:pPr>
        <w:keepNext w:val="0"/>
        <w:keepLines w:val="0"/>
        <w:pageBreakBefore w:val="0"/>
        <w:numPr>
          <w:ilvl w:val="0"/>
          <w:numId w:val="0"/>
        </w:numPr>
        <w:kinsoku/>
        <w:overflowPunct/>
        <w:topLinePunct w:val="0"/>
        <w:autoSpaceDE/>
        <w:autoSpaceDN/>
        <w:bidi w:val="0"/>
        <w:adjustRightInd w:val="0"/>
        <w:snapToGrid w:val="0"/>
        <w:spacing w:line="590" w:lineRule="exact"/>
        <w:ind w:firstLine="640" w:firstLineChars="200"/>
        <w:jc w:val="both"/>
        <w:textAlignment w:val="auto"/>
        <w:rPr>
          <w:rFonts w:hint="eastAsia" w:ascii="仿宋_GB2312" w:hAnsi="Times New Roman" w:eastAsia="仿宋_GB2312" w:cs="仿宋_GB2312"/>
          <w:color w:val="auto"/>
          <w:kern w:val="2"/>
          <w:sz w:val="32"/>
          <w:szCs w:val="32"/>
          <w:u w:val="none"/>
          <w:lang w:val="en-US" w:eastAsia="zh-CN"/>
        </w:rPr>
      </w:pPr>
      <w:r>
        <w:rPr>
          <w:rFonts w:hint="eastAsia" w:ascii="仿宋_GB2312" w:hAnsi="Times New Roman" w:eastAsia="仿宋_GB2312" w:cs="仿宋_GB2312"/>
          <w:b/>
          <w:bCs/>
          <w:color w:val="auto"/>
          <w:kern w:val="2"/>
          <w:sz w:val="32"/>
          <w:szCs w:val="32"/>
          <w:u w:val="none"/>
          <w:lang w:val="en-US" w:eastAsia="zh-CN"/>
        </w:rPr>
        <w:t>第二十一条（检查结果审定与公告）</w:t>
      </w:r>
      <w:r>
        <w:rPr>
          <w:rFonts w:hint="eastAsia" w:ascii="仿宋_GB2312" w:hAnsi="Times New Roman" w:eastAsia="仿宋_GB2312" w:cs="仿宋_GB2312"/>
          <w:color w:val="auto"/>
          <w:kern w:val="2"/>
          <w:sz w:val="32"/>
          <w:szCs w:val="32"/>
          <w:u w:val="none"/>
          <w:lang w:val="en-US" w:eastAsia="zh-CN"/>
        </w:rPr>
        <w:t>接到《药品检查综合评定报告书》及相关检查材料后，药生处应当在10个工作日内完成审核，针对检查结果提出最终的处理意见，并经批准后实施。</w:t>
      </w:r>
    </w:p>
    <w:p>
      <w:pPr>
        <w:keepNext w:val="0"/>
        <w:keepLines w:val="0"/>
        <w:pageBreakBefore w:val="0"/>
        <w:numPr>
          <w:ilvl w:val="0"/>
          <w:numId w:val="0"/>
        </w:numPr>
        <w:kinsoku/>
        <w:overflowPunct/>
        <w:topLinePunct w:val="0"/>
        <w:autoSpaceDE/>
        <w:autoSpaceDN/>
        <w:bidi w:val="0"/>
        <w:adjustRightInd w:val="0"/>
        <w:snapToGrid w:val="0"/>
        <w:spacing w:line="590" w:lineRule="exact"/>
        <w:ind w:firstLine="640" w:firstLineChars="200"/>
        <w:jc w:val="both"/>
        <w:textAlignment w:val="auto"/>
        <w:rPr>
          <w:rFonts w:hint="eastAsia" w:ascii="仿宋_GB2312" w:hAnsi="Times New Roman" w:eastAsia="仿宋_GB2312" w:cs="仿宋_GB2312"/>
          <w:color w:val="auto"/>
          <w:kern w:val="2"/>
          <w:sz w:val="32"/>
          <w:szCs w:val="32"/>
          <w:u w:val="none"/>
          <w:lang w:val="en-US" w:eastAsia="zh-CN"/>
        </w:rPr>
      </w:pPr>
      <w:r>
        <w:rPr>
          <w:rFonts w:hint="eastAsia" w:ascii="仿宋_GB2312" w:hAnsi="Times New Roman" w:eastAsia="仿宋_GB2312" w:cs="仿宋_GB2312"/>
          <w:color w:val="auto"/>
          <w:kern w:val="2"/>
          <w:sz w:val="32"/>
          <w:szCs w:val="32"/>
          <w:u w:val="none"/>
          <w:lang w:val="en-US" w:eastAsia="zh-CN"/>
        </w:rPr>
        <w:t>综合评定结论为“符合要求或基本符合要求”的GMP符合性检查，</w:t>
      </w:r>
      <w:r>
        <w:rPr>
          <w:rFonts w:hint="eastAsia" w:ascii="仿宋_GB2312" w:hAnsi="PingFangSC-Regular" w:eastAsia="仿宋_GB2312"/>
          <w:color w:val="auto"/>
          <w:spacing w:val="-3"/>
          <w:sz w:val="32"/>
          <w:szCs w:val="32"/>
          <w:u w:val="none"/>
        </w:rPr>
        <w:t>由药生处在省局网站上发布药品GMP符合性检查结果</w:t>
      </w:r>
      <w:r>
        <w:rPr>
          <w:rFonts w:hint="eastAsia" w:ascii="仿宋_GB2312" w:hAnsi="PingFangSC-Regular" w:eastAsia="仿宋_GB2312"/>
          <w:color w:val="auto"/>
          <w:spacing w:val="-3"/>
          <w:sz w:val="32"/>
          <w:szCs w:val="32"/>
          <w:u w:val="none"/>
          <w:lang w:eastAsia="zh-CN"/>
        </w:rPr>
        <w:t>公告</w:t>
      </w:r>
      <w:r>
        <w:rPr>
          <w:rFonts w:hint="eastAsia" w:ascii="仿宋_GB2312" w:hAnsi="PingFangSC-Regular" w:eastAsia="仿宋_GB2312"/>
          <w:color w:val="auto"/>
          <w:spacing w:val="-3"/>
          <w:sz w:val="32"/>
          <w:szCs w:val="32"/>
          <w:u w:val="none"/>
        </w:rPr>
        <w:t>。</w:t>
      </w:r>
      <w:r>
        <w:rPr>
          <w:rFonts w:hint="eastAsia" w:ascii="仿宋_GB2312" w:hAnsi="Times New Roman" w:eastAsia="仿宋_GB2312" w:cs="仿宋_GB2312"/>
          <w:color w:val="auto"/>
          <w:kern w:val="2"/>
          <w:sz w:val="32"/>
          <w:szCs w:val="32"/>
          <w:u w:val="none"/>
          <w:lang w:val="en-US" w:eastAsia="zh-CN"/>
        </w:rPr>
        <w:t>经整改后综合评定结论仍为“不符合要求”的，由药生处制作检查结果通知书，将GMP符合性检查结果书面通知检查申请人。</w:t>
      </w:r>
    </w:p>
    <w:p>
      <w:pPr>
        <w:keepNext w:val="0"/>
        <w:keepLines w:val="0"/>
        <w:pageBreakBefore w:val="0"/>
        <w:numPr>
          <w:ilvl w:val="0"/>
          <w:numId w:val="0"/>
        </w:numPr>
        <w:kinsoku/>
        <w:overflowPunct/>
        <w:topLinePunct w:val="0"/>
        <w:autoSpaceDE/>
        <w:autoSpaceDN/>
        <w:bidi w:val="0"/>
        <w:adjustRightInd w:val="0"/>
        <w:snapToGrid w:val="0"/>
        <w:spacing w:line="590" w:lineRule="exact"/>
        <w:ind w:firstLine="640" w:firstLineChars="200"/>
        <w:jc w:val="center"/>
        <w:textAlignment w:val="auto"/>
        <w:rPr>
          <w:rFonts w:hint="eastAsia" w:ascii="黑体" w:hAnsi="黑体" w:eastAsia="黑体" w:cs="黑体"/>
          <w:b w:val="0"/>
          <w:bCs w:val="0"/>
          <w:color w:val="auto"/>
          <w:kern w:val="2"/>
          <w:sz w:val="32"/>
          <w:szCs w:val="32"/>
          <w:u w:val="none"/>
          <w:lang w:val="en-US" w:eastAsia="zh-CN"/>
        </w:rPr>
      </w:pPr>
      <w:r>
        <w:rPr>
          <w:rFonts w:hint="eastAsia" w:ascii="黑体" w:hAnsi="黑体" w:eastAsia="黑体" w:cs="黑体"/>
          <w:b w:val="0"/>
          <w:bCs w:val="0"/>
          <w:color w:val="auto"/>
          <w:kern w:val="2"/>
          <w:sz w:val="32"/>
          <w:szCs w:val="32"/>
          <w:u w:val="none"/>
          <w:lang w:val="en-US" w:eastAsia="zh-CN"/>
        </w:rPr>
        <w:t>第三章 依职权的GMP符合性检查</w:t>
      </w:r>
    </w:p>
    <w:p>
      <w:pPr>
        <w:keepNext w:val="0"/>
        <w:keepLines w:val="0"/>
        <w:pageBreakBefore w:val="0"/>
        <w:widowControl w:val="0"/>
        <w:numPr>
          <w:ilvl w:val="0"/>
          <w:numId w:val="0"/>
        </w:numPr>
        <w:suppressLineNumbers w:val="0"/>
        <w:kinsoku/>
        <w:overflowPunct/>
        <w:topLinePunct w:val="0"/>
        <w:autoSpaceDE/>
        <w:autoSpaceDN/>
        <w:bidi w:val="0"/>
        <w:adjustRightInd w:val="0"/>
        <w:snapToGrid w:val="0"/>
        <w:spacing w:before="0" w:beforeAutospacing="0" w:afterAutospacing="0" w:line="590" w:lineRule="exact"/>
        <w:ind w:right="0" w:rightChars="0" w:firstLine="640" w:firstLineChars="200"/>
        <w:jc w:val="both"/>
        <w:textAlignment w:val="auto"/>
        <w:rPr>
          <w:rFonts w:hint="eastAsia" w:ascii="仿宋_GB2312" w:hAnsi="Times New Roman" w:eastAsia="仿宋_GB2312" w:cs="仿宋_GB2312"/>
          <w:color w:val="auto"/>
          <w:kern w:val="2"/>
          <w:sz w:val="32"/>
          <w:szCs w:val="32"/>
          <w:u w:val="none"/>
          <w:lang w:val="en-US" w:eastAsia="zh-CN"/>
        </w:rPr>
      </w:pPr>
      <w:r>
        <w:rPr>
          <w:rFonts w:hint="eastAsia" w:ascii="仿宋_GB2312" w:hAnsi="Times New Roman" w:eastAsia="仿宋_GB2312" w:cs="仿宋_GB2312"/>
          <w:b/>
          <w:bCs/>
          <w:color w:val="auto"/>
          <w:kern w:val="2"/>
          <w:sz w:val="32"/>
          <w:szCs w:val="32"/>
          <w:u w:val="none"/>
          <w:lang w:val="en-US" w:eastAsia="zh-CN"/>
        </w:rPr>
        <w:t>第二十二条（检查计划制定）</w:t>
      </w:r>
      <w:r>
        <w:rPr>
          <w:rFonts w:hint="eastAsia" w:ascii="仿宋_GB2312" w:hAnsi="Times New Roman" w:eastAsia="仿宋_GB2312" w:cs="仿宋_GB2312"/>
          <w:color w:val="auto"/>
          <w:kern w:val="2"/>
          <w:sz w:val="32"/>
          <w:szCs w:val="32"/>
          <w:u w:val="none"/>
          <w:lang w:val="en-US" w:eastAsia="zh-CN"/>
        </w:rPr>
        <w:t>药生处应当根据药品品种特点，结合药品安全总体情况、药品安全风险警示信息、重大药品安全事件及其调查处理信息等，以及既往检查、检验、不良反应监测、投诉举报等情况确定检查频次，制定全省依职权的GMP符合性年度检查计划并监督实施，核查中心、检查分局配合实施。</w:t>
      </w:r>
    </w:p>
    <w:p>
      <w:pPr>
        <w:keepNext w:val="0"/>
        <w:keepLines w:val="0"/>
        <w:pageBreakBefore w:val="0"/>
        <w:widowControl w:val="0"/>
        <w:numPr>
          <w:ilvl w:val="0"/>
          <w:numId w:val="0"/>
        </w:numPr>
        <w:suppressLineNumbers w:val="0"/>
        <w:kinsoku/>
        <w:overflowPunct/>
        <w:topLinePunct w:val="0"/>
        <w:autoSpaceDE/>
        <w:autoSpaceDN/>
        <w:bidi w:val="0"/>
        <w:adjustRightInd w:val="0"/>
        <w:snapToGrid w:val="0"/>
        <w:spacing w:before="0" w:beforeAutospacing="0" w:afterAutospacing="0" w:line="590" w:lineRule="exact"/>
        <w:ind w:right="0" w:rightChars="0" w:firstLine="640" w:firstLineChars="200"/>
        <w:jc w:val="both"/>
        <w:textAlignment w:val="auto"/>
        <w:rPr>
          <w:rFonts w:hint="eastAsia" w:ascii="仿宋_GB2312" w:hAnsi="Times New Roman" w:eastAsia="仿宋_GB2312" w:cs="仿宋_GB2312"/>
          <w:color w:val="auto"/>
          <w:kern w:val="2"/>
          <w:sz w:val="32"/>
          <w:szCs w:val="32"/>
          <w:u w:val="none"/>
          <w:lang w:val="en-US" w:eastAsia="zh-CN"/>
        </w:rPr>
      </w:pPr>
      <w:r>
        <w:rPr>
          <w:rFonts w:hint="eastAsia" w:ascii="仿宋_GB2312" w:hAnsi="Times New Roman" w:eastAsia="仿宋_GB2312" w:cs="仿宋_GB2312"/>
          <w:color w:val="auto"/>
          <w:kern w:val="2"/>
          <w:sz w:val="32"/>
          <w:szCs w:val="32"/>
          <w:u w:val="none"/>
          <w:lang w:val="en-US" w:eastAsia="zh-CN"/>
        </w:rPr>
        <w:t>符合以下情形之一的，原则上应当列入年度检查计划：</w:t>
      </w:r>
    </w:p>
    <w:p>
      <w:pPr>
        <w:keepNext w:val="0"/>
        <w:keepLines w:val="0"/>
        <w:pageBreakBefore w:val="0"/>
        <w:widowControl w:val="0"/>
        <w:numPr>
          <w:ilvl w:val="0"/>
          <w:numId w:val="0"/>
        </w:numPr>
        <w:suppressLineNumbers w:val="0"/>
        <w:kinsoku/>
        <w:overflowPunct/>
        <w:topLinePunct w:val="0"/>
        <w:autoSpaceDE/>
        <w:autoSpaceDN/>
        <w:bidi w:val="0"/>
        <w:adjustRightInd w:val="0"/>
        <w:snapToGrid w:val="0"/>
        <w:spacing w:before="0" w:beforeAutospacing="0" w:afterAutospacing="0" w:line="590" w:lineRule="exact"/>
        <w:ind w:right="0" w:rightChars="0" w:firstLine="640" w:firstLineChars="200"/>
        <w:jc w:val="both"/>
        <w:textAlignment w:val="auto"/>
        <w:rPr>
          <w:rFonts w:hint="eastAsia" w:ascii="仿宋_GB2312" w:hAnsi="Times New Roman" w:eastAsia="仿宋_GB2312" w:cs="仿宋_GB2312"/>
          <w:color w:val="auto"/>
          <w:kern w:val="2"/>
          <w:sz w:val="32"/>
          <w:szCs w:val="32"/>
          <w:u w:val="none"/>
          <w:lang w:val="en-US" w:eastAsia="zh-CN"/>
        </w:rPr>
      </w:pPr>
      <w:r>
        <w:rPr>
          <w:rFonts w:hint="eastAsia" w:ascii="仿宋_GB2312" w:hAnsi="Times New Roman" w:eastAsia="仿宋_GB2312" w:cs="仿宋_GB2312"/>
          <w:color w:val="auto"/>
          <w:kern w:val="2"/>
          <w:sz w:val="32"/>
          <w:szCs w:val="32"/>
          <w:u w:val="none"/>
          <w:lang w:val="en-US" w:eastAsia="zh-CN"/>
        </w:rPr>
        <w:t>（一）疫苗、血液制品、放射性药品、医疗用毒性药品、无菌药品等高风险药品生产企业未满足至少每剂型（车间/生产线）每年一次且检查结论为“符合或基本符合要求”的；</w:t>
      </w:r>
    </w:p>
    <w:p>
      <w:pPr>
        <w:keepNext w:val="0"/>
        <w:keepLines w:val="0"/>
        <w:pageBreakBefore w:val="0"/>
        <w:widowControl w:val="0"/>
        <w:numPr>
          <w:ilvl w:val="0"/>
          <w:numId w:val="0"/>
        </w:numPr>
        <w:suppressLineNumbers w:val="0"/>
        <w:kinsoku/>
        <w:overflowPunct/>
        <w:topLinePunct w:val="0"/>
        <w:autoSpaceDE/>
        <w:autoSpaceDN/>
        <w:bidi w:val="0"/>
        <w:adjustRightInd w:val="0"/>
        <w:snapToGrid w:val="0"/>
        <w:spacing w:before="0" w:beforeAutospacing="0" w:afterAutospacing="0" w:line="590" w:lineRule="exact"/>
        <w:ind w:right="0" w:rightChars="0" w:firstLine="640" w:firstLineChars="200"/>
        <w:jc w:val="both"/>
        <w:textAlignment w:val="auto"/>
        <w:rPr>
          <w:rFonts w:hint="eastAsia" w:ascii="仿宋_GB2312" w:hAnsi="Times New Roman" w:eastAsia="仿宋_GB2312" w:cs="仿宋_GB2312"/>
          <w:color w:val="auto"/>
          <w:kern w:val="2"/>
          <w:sz w:val="32"/>
          <w:szCs w:val="32"/>
          <w:u w:val="none"/>
          <w:lang w:val="en-US" w:eastAsia="zh-CN"/>
        </w:rPr>
      </w:pPr>
      <w:r>
        <w:rPr>
          <w:rFonts w:hint="eastAsia" w:ascii="仿宋_GB2312" w:hAnsi="Times New Roman" w:eastAsia="仿宋_GB2312" w:cs="仿宋_GB2312"/>
          <w:color w:val="auto"/>
          <w:kern w:val="2"/>
          <w:sz w:val="32"/>
          <w:szCs w:val="32"/>
          <w:u w:val="none"/>
          <w:lang w:val="en-US" w:eastAsia="zh-CN"/>
        </w:rPr>
        <w:t>（二）其他药品制剂生产企业未满足至少每剂型（车间/生产线）每三年一次且检查结论为“符合或基本符合要求”的；</w:t>
      </w:r>
    </w:p>
    <w:p>
      <w:pPr>
        <w:keepNext w:val="0"/>
        <w:keepLines w:val="0"/>
        <w:pageBreakBefore w:val="0"/>
        <w:widowControl w:val="0"/>
        <w:numPr>
          <w:ilvl w:val="0"/>
          <w:numId w:val="0"/>
        </w:numPr>
        <w:suppressLineNumbers w:val="0"/>
        <w:kinsoku/>
        <w:overflowPunct/>
        <w:topLinePunct w:val="0"/>
        <w:autoSpaceDE/>
        <w:autoSpaceDN/>
        <w:bidi w:val="0"/>
        <w:adjustRightInd w:val="0"/>
        <w:snapToGrid w:val="0"/>
        <w:spacing w:before="0" w:beforeAutospacing="0" w:afterAutospacing="0" w:line="590" w:lineRule="exact"/>
        <w:ind w:right="0" w:rightChars="0" w:firstLine="640" w:firstLineChars="200"/>
        <w:jc w:val="both"/>
        <w:textAlignment w:val="auto"/>
        <w:rPr>
          <w:rFonts w:hint="eastAsia" w:ascii="仿宋_GB2312" w:hAnsi="Times New Roman" w:eastAsia="仿宋_GB2312" w:cs="仿宋_GB2312"/>
          <w:color w:val="auto"/>
          <w:kern w:val="2"/>
          <w:sz w:val="32"/>
          <w:szCs w:val="32"/>
          <w:u w:val="none"/>
          <w:lang w:val="en-US" w:eastAsia="zh-CN"/>
        </w:rPr>
      </w:pPr>
      <w:r>
        <w:rPr>
          <w:rFonts w:hint="eastAsia" w:ascii="仿宋_GB2312" w:hAnsi="Times New Roman" w:eastAsia="仿宋_GB2312" w:cs="仿宋_GB2312"/>
          <w:color w:val="auto"/>
          <w:kern w:val="2"/>
          <w:sz w:val="32"/>
          <w:szCs w:val="32"/>
          <w:u w:val="none"/>
          <w:lang w:val="en-US" w:eastAsia="zh-CN"/>
        </w:rPr>
        <w:t>（三）原料药等生产企业未满足至少每品种每五年一次且检查结论为“符合或基本符合要求”的；</w:t>
      </w:r>
    </w:p>
    <w:p>
      <w:pPr>
        <w:keepNext w:val="0"/>
        <w:keepLines w:val="0"/>
        <w:pageBreakBefore w:val="0"/>
        <w:widowControl w:val="0"/>
        <w:numPr>
          <w:ilvl w:val="0"/>
          <w:numId w:val="0"/>
        </w:numPr>
        <w:suppressLineNumbers w:val="0"/>
        <w:kinsoku/>
        <w:overflowPunct/>
        <w:topLinePunct w:val="0"/>
        <w:autoSpaceDE/>
        <w:autoSpaceDN/>
        <w:bidi w:val="0"/>
        <w:adjustRightInd w:val="0"/>
        <w:snapToGrid w:val="0"/>
        <w:spacing w:before="0" w:beforeAutospacing="0" w:afterAutospacing="0" w:line="590" w:lineRule="exact"/>
        <w:ind w:right="0" w:rightChars="0" w:firstLine="640" w:firstLineChars="200"/>
        <w:jc w:val="both"/>
        <w:textAlignment w:val="auto"/>
        <w:rPr>
          <w:rFonts w:hint="eastAsia" w:ascii="仿宋_GB2312" w:hAnsi="Times New Roman" w:eastAsia="仿宋_GB2312" w:cs="仿宋_GB2312"/>
          <w:color w:val="auto"/>
          <w:kern w:val="2"/>
          <w:sz w:val="32"/>
          <w:szCs w:val="32"/>
          <w:u w:val="none"/>
          <w:lang w:val="en-US" w:eastAsia="zh-CN"/>
        </w:rPr>
      </w:pPr>
      <w:r>
        <w:rPr>
          <w:rFonts w:hint="eastAsia" w:ascii="仿宋_GB2312" w:hAnsi="Times New Roman" w:eastAsia="仿宋_GB2312" w:cs="仿宋_GB2312"/>
          <w:color w:val="auto"/>
          <w:kern w:val="2"/>
          <w:sz w:val="32"/>
          <w:szCs w:val="32"/>
          <w:u w:val="none"/>
          <w:lang w:val="en-US" w:eastAsia="zh-CN"/>
        </w:rPr>
        <w:t>（四）其他基于信用管理、风险管理等原因需要检查的。</w:t>
      </w:r>
    </w:p>
    <w:p>
      <w:pPr>
        <w:keepNext w:val="0"/>
        <w:keepLines w:val="0"/>
        <w:pageBreakBefore w:val="0"/>
        <w:numPr>
          <w:ilvl w:val="0"/>
          <w:numId w:val="0"/>
        </w:numPr>
        <w:kinsoku/>
        <w:overflowPunct/>
        <w:topLinePunct w:val="0"/>
        <w:autoSpaceDE/>
        <w:autoSpaceDN/>
        <w:bidi w:val="0"/>
        <w:adjustRightInd w:val="0"/>
        <w:snapToGrid w:val="0"/>
        <w:spacing w:line="590" w:lineRule="exact"/>
        <w:ind w:firstLine="640"/>
        <w:jc w:val="both"/>
        <w:textAlignment w:val="auto"/>
        <w:rPr>
          <w:rFonts w:hint="eastAsia" w:ascii="仿宋_GB2312" w:hAnsi="宋体" w:eastAsia="仿宋_GB2312" w:cs="宋体"/>
          <w:b/>
          <w:bCs/>
          <w:color w:val="auto"/>
          <w:sz w:val="32"/>
          <w:szCs w:val="32"/>
          <w:u w:val="none"/>
          <w:lang w:eastAsia="zh-CN"/>
        </w:rPr>
      </w:pPr>
      <w:r>
        <w:rPr>
          <w:rFonts w:hint="eastAsia" w:ascii="仿宋_GB2312" w:hAnsi="仿宋_GB2312" w:eastAsia="仿宋_GB2312" w:cs="仿宋_GB2312"/>
          <w:b/>
          <w:bCs/>
          <w:color w:val="auto"/>
          <w:sz w:val="32"/>
          <w:szCs w:val="32"/>
          <w:u w:val="none"/>
          <w:lang w:val="en-US" w:eastAsia="zh-CN"/>
        </w:rPr>
        <w:t>第二十三条（合并检查）</w:t>
      </w:r>
      <w:r>
        <w:rPr>
          <w:rFonts w:hint="eastAsia" w:ascii="仿宋_GB2312" w:hAnsi="Times New Roman" w:eastAsia="仿宋_GB2312" w:cs="仿宋_GB2312"/>
          <w:color w:val="auto"/>
          <w:kern w:val="2"/>
          <w:sz w:val="32"/>
          <w:szCs w:val="32"/>
          <w:u w:val="none"/>
          <w:lang w:val="en-US" w:eastAsia="zh-CN"/>
        </w:rPr>
        <w:t>依职权的GMP符合性检查、依申请的GMP符合性检查、日常监管检查等可以视情合并实施。</w:t>
      </w:r>
    </w:p>
    <w:p>
      <w:pPr>
        <w:keepNext w:val="0"/>
        <w:keepLines w:val="0"/>
        <w:pageBreakBefore w:val="0"/>
        <w:numPr>
          <w:ilvl w:val="0"/>
          <w:numId w:val="0"/>
        </w:numPr>
        <w:kinsoku/>
        <w:overflowPunct/>
        <w:topLinePunct w:val="0"/>
        <w:autoSpaceDE/>
        <w:autoSpaceDN/>
        <w:bidi w:val="0"/>
        <w:adjustRightInd w:val="0"/>
        <w:snapToGrid w:val="0"/>
        <w:spacing w:line="590" w:lineRule="exact"/>
        <w:ind w:firstLine="640" w:firstLineChars="200"/>
        <w:jc w:val="both"/>
        <w:textAlignment w:val="auto"/>
        <w:rPr>
          <w:rFonts w:hint="eastAsia" w:ascii="仿宋_GB2312" w:hAnsi="Times New Roman" w:eastAsia="仿宋_GB2312" w:cs="仿宋_GB2312"/>
          <w:color w:val="auto"/>
          <w:kern w:val="2"/>
          <w:sz w:val="32"/>
          <w:szCs w:val="32"/>
          <w:u w:val="none"/>
          <w:lang w:val="en-US" w:eastAsia="zh-CN"/>
        </w:rPr>
      </w:pPr>
      <w:r>
        <w:rPr>
          <w:rFonts w:hint="eastAsia" w:ascii="仿宋_GB2312" w:hAnsi="宋体" w:eastAsia="仿宋_GB2312" w:cs="宋体"/>
          <w:b/>
          <w:bCs/>
          <w:color w:val="auto"/>
          <w:sz w:val="32"/>
          <w:szCs w:val="32"/>
          <w:u w:val="none"/>
          <w:lang w:eastAsia="zh-CN"/>
        </w:rPr>
        <w:t>第二十四条</w:t>
      </w:r>
      <w:r>
        <w:rPr>
          <w:rFonts w:hint="eastAsia" w:ascii="仿宋_GB2312" w:hAnsi="宋体" w:eastAsia="仿宋_GB2312" w:cs="宋体"/>
          <w:b/>
          <w:bCs/>
          <w:color w:val="auto"/>
          <w:sz w:val="32"/>
          <w:szCs w:val="32"/>
          <w:u w:val="none"/>
          <w:lang w:val="en-US" w:eastAsia="zh-CN"/>
        </w:rPr>
        <w:t xml:space="preserve"> （参照依申请程序实施）</w:t>
      </w:r>
      <w:r>
        <w:rPr>
          <w:rFonts w:hint="eastAsia" w:ascii="仿宋_GB2312" w:hAnsi="Times New Roman" w:eastAsia="仿宋_GB2312" w:cs="仿宋_GB2312"/>
          <w:color w:val="auto"/>
          <w:kern w:val="2"/>
          <w:sz w:val="32"/>
          <w:szCs w:val="32"/>
          <w:u w:val="none"/>
          <w:lang w:val="en-US" w:eastAsia="zh-CN"/>
        </w:rPr>
        <w:t>依职权的GMP符合性检查参照依申请GMP符合性检查适用的程序执行。</w:t>
      </w:r>
    </w:p>
    <w:p>
      <w:pPr>
        <w:keepNext w:val="0"/>
        <w:keepLines w:val="0"/>
        <w:pageBreakBefore w:val="0"/>
        <w:numPr>
          <w:ilvl w:val="0"/>
          <w:numId w:val="0"/>
        </w:numPr>
        <w:kinsoku/>
        <w:overflowPunct/>
        <w:topLinePunct w:val="0"/>
        <w:autoSpaceDE/>
        <w:autoSpaceDN/>
        <w:bidi w:val="0"/>
        <w:adjustRightInd w:val="0"/>
        <w:snapToGrid w:val="0"/>
        <w:spacing w:line="590" w:lineRule="exact"/>
        <w:ind w:firstLine="640" w:firstLineChars="200"/>
        <w:jc w:val="both"/>
        <w:textAlignment w:val="auto"/>
        <w:rPr>
          <w:rFonts w:hint="eastAsia" w:ascii="仿宋_GB2312" w:hAnsi="Times New Roman" w:eastAsia="仿宋_GB2312" w:cs="仿宋_GB2312"/>
          <w:color w:val="auto"/>
          <w:kern w:val="2"/>
          <w:sz w:val="32"/>
          <w:szCs w:val="32"/>
          <w:u w:val="none"/>
          <w:lang w:val="en-US" w:eastAsia="zh-CN"/>
        </w:rPr>
      </w:pPr>
      <w:r>
        <w:rPr>
          <w:rFonts w:hint="eastAsia" w:ascii="仿宋_GB2312" w:hAnsi="Times New Roman" w:eastAsia="仿宋_GB2312" w:cs="仿宋_GB2312"/>
          <w:b/>
          <w:bCs/>
          <w:color w:val="auto"/>
          <w:kern w:val="2"/>
          <w:sz w:val="32"/>
          <w:szCs w:val="32"/>
          <w:u w:val="none"/>
          <w:lang w:val="en-US" w:eastAsia="zh-CN"/>
        </w:rPr>
        <w:t>第二十五条（结果公开与公告）</w:t>
      </w:r>
      <w:r>
        <w:rPr>
          <w:rFonts w:hint="eastAsia" w:ascii="仿宋_GB2312" w:hAnsi="Times New Roman" w:eastAsia="仿宋_GB2312" w:cs="仿宋_GB2312"/>
          <w:color w:val="auto"/>
          <w:kern w:val="2"/>
          <w:sz w:val="32"/>
          <w:szCs w:val="32"/>
          <w:u w:val="none"/>
          <w:lang w:val="en-US" w:eastAsia="zh-CN"/>
        </w:rPr>
        <w:t xml:space="preserve">依职权的GMP符合性检查检查实施单位按省局有关规定完成检查结果的审核/认定后，将《药品检查综合评定报告书》及相关检查材料抄报药生处。符合要求的，经批准后，药生处可以参照依申请的GMP符合性检查公告形式公告检查结果。 </w:t>
      </w:r>
    </w:p>
    <w:p>
      <w:pPr>
        <w:keepNext w:val="0"/>
        <w:keepLines w:val="0"/>
        <w:pageBreakBefore w:val="0"/>
        <w:numPr>
          <w:ilvl w:val="0"/>
          <w:numId w:val="0"/>
        </w:numPr>
        <w:kinsoku/>
        <w:overflowPunct/>
        <w:topLinePunct w:val="0"/>
        <w:autoSpaceDE/>
        <w:autoSpaceDN/>
        <w:bidi w:val="0"/>
        <w:adjustRightInd w:val="0"/>
        <w:snapToGrid w:val="0"/>
        <w:spacing w:line="590" w:lineRule="exact"/>
        <w:ind w:firstLine="640" w:firstLineChars="200"/>
        <w:jc w:val="both"/>
        <w:textAlignment w:val="auto"/>
        <w:rPr>
          <w:rFonts w:hint="eastAsia" w:ascii="仿宋_GB2312" w:hAnsi="Times New Roman" w:eastAsia="仿宋_GB2312" w:cs="仿宋_GB2312"/>
          <w:color w:val="auto"/>
          <w:kern w:val="2"/>
          <w:sz w:val="32"/>
          <w:szCs w:val="32"/>
          <w:u w:val="none"/>
          <w:lang w:val="en-US" w:eastAsia="zh-CN" w:bidi="ar-SA"/>
        </w:rPr>
      </w:pPr>
      <w:r>
        <w:rPr>
          <w:rFonts w:hint="eastAsia" w:ascii="仿宋_GB2312" w:hAnsi="宋体" w:eastAsia="仿宋_GB2312" w:cs="宋体"/>
          <w:color w:val="auto"/>
          <w:sz w:val="32"/>
          <w:szCs w:val="32"/>
          <w:u w:val="none"/>
          <w:lang w:val="en-US" w:eastAsia="zh-CN"/>
        </w:rPr>
        <w:t>依职权</w:t>
      </w:r>
      <w:r>
        <w:rPr>
          <w:rFonts w:hint="eastAsia" w:ascii="仿宋_GB2312" w:hAnsi="Times New Roman" w:eastAsia="仿宋_GB2312" w:cs="仿宋_GB2312"/>
          <w:color w:val="auto"/>
          <w:kern w:val="2"/>
          <w:sz w:val="32"/>
          <w:szCs w:val="32"/>
          <w:u w:val="none"/>
          <w:lang w:val="en-US" w:eastAsia="zh-CN" w:bidi="ar-SA"/>
        </w:rPr>
        <w:t>GMP符合性检查的检查结果及行政处理结果公开前，应当进行舆情等风险评估。已完成行政处理处理、整改完成、适合公开的，经批准后应当选择适当的时机以适当的方式分期分批公开。</w:t>
      </w:r>
    </w:p>
    <w:p>
      <w:pPr>
        <w:keepNext w:val="0"/>
        <w:keepLines w:val="0"/>
        <w:pageBreakBefore w:val="0"/>
        <w:widowControl w:val="0"/>
        <w:kinsoku/>
        <w:overflowPunct/>
        <w:topLinePunct w:val="0"/>
        <w:autoSpaceDE/>
        <w:autoSpaceDN/>
        <w:bidi w:val="0"/>
        <w:adjustRightInd w:val="0"/>
        <w:snapToGrid w:val="0"/>
        <w:spacing w:line="590" w:lineRule="exact"/>
        <w:ind w:firstLine="640" w:firstLineChars="200"/>
        <w:jc w:val="both"/>
        <w:textAlignment w:val="auto"/>
        <w:rPr>
          <w:rFonts w:hint="eastAsia" w:ascii="仿宋_GB2312" w:hAnsi="宋体" w:eastAsia="仿宋_GB2312" w:cs="宋体"/>
          <w:color w:val="auto"/>
          <w:sz w:val="32"/>
          <w:szCs w:val="32"/>
          <w:u w:val="none"/>
        </w:rPr>
      </w:pPr>
      <w:r>
        <w:rPr>
          <w:rFonts w:hint="eastAsia" w:ascii="仿宋_GB2312" w:hAnsi="宋体" w:eastAsia="仿宋_GB2312" w:cs="宋体"/>
          <w:b/>
          <w:bCs/>
          <w:color w:val="auto"/>
          <w:sz w:val="32"/>
          <w:szCs w:val="32"/>
          <w:u w:val="none"/>
          <w:lang w:eastAsia="zh-CN"/>
        </w:rPr>
        <w:t>第二十六条</w:t>
      </w:r>
      <w:r>
        <w:rPr>
          <w:rFonts w:hint="eastAsia" w:ascii="仿宋_GB2312" w:hAnsi="宋体" w:eastAsia="仿宋_GB2312" w:cs="宋体"/>
          <w:color w:val="auto"/>
          <w:sz w:val="32"/>
          <w:szCs w:val="32"/>
          <w:u w:val="none"/>
          <w:lang w:val="en-US" w:eastAsia="zh-CN"/>
        </w:rPr>
        <w:t xml:space="preserve"> </w:t>
      </w:r>
      <w:r>
        <w:rPr>
          <w:rFonts w:hint="eastAsia" w:ascii="仿宋_GB2312" w:hAnsi="宋体" w:eastAsia="仿宋_GB2312" w:cs="宋体"/>
          <w:b/>
          <w:bCs/>
          <w:color w:val="auto"/>
          <w:sz w:val="32"/>
          <w:szCs w:val="32"/>
          <w:u w:val="none"/>
          <w:lang w:val="en-US" w:eastAsia="zh-CN"/>
        </w:rPr>
        <w:t>（归档与信息共享）</w:t>
      </w:r>
      <w:r>
        <w:rPr>
          <w:rFonts w:hint="eastAsia" w:ascii="仿宋_GB2312" w:hAnsi="宋体" w:eastAsia="仿宋_GB2312" w:cs="宋体"/>
          <w:color w:val="auto"/>
          <w:sz w:val="32"/>
          <w:szCs w:val="32"/>
          <w:u w:val="none"/>
        </w:rPr>
        <w:t>检查派出单位应</w:t>
      </w:r>
      <w:r>
        <w:rPr>
          <w:rFonts w:hint="eastAsia" w:ascii="仿宋_GB2312" w:hAnsi="宋体" w:eastAsia="仿宋_GB2312" w:cs="宋体"/>
          <w:color w:val="auto"/>
          <w:sz w:val="32"/>
          <w:szCs w:val="32"/>
          <w:u w:val="none"/>
          <w:lang w:eastAsia="zh-CN"/>
        </w:rPr>
        <w:t>当</w:t>
      </w:r>
      <w:r>
        <w:rPr>
          <w:rFonts w:hint="eastAsia" w:ascii="仿宋_GB2312" w:hAnsi="宋体" w:eastAsia="仿宋_GB2312" w:cs="宋体"/>
          <w:color w:val="auto"/>
          <w:sz w:val="32"/>
          <w:szCs w:val="32"/>
          <w:u w:val="none"/>
        </w:rPr>
        <w:t>将</w:t>
      </w:r>
      <w:r>
        <w:rPr>
          <w:rFonts w:hint="eastAsia" w:ascii="仿宋_GB2312" w:hAnsi="宋体" w:eastAsia="仿宋_GB2312" w:cs="宋体"/>
          <w:color w:val="auto"/>
          <w:sz w:val="32"/>
          <w:szCs w:val="32"/>
          <w:u w:val="none"/>
          <w:lang w:val="en-US" w:eastAsia="zh-CN"/>
        </w:rPr>
        <w:t>GMP符合性检查计划、</w:t>
      </w:r>
      <w:r>
        <w:rPr>
          <w:rFonts w:hint="eastAsia" w:ascii="仿宋_GB2312" w:hAnsi="宋体" w:eastAsia="仿宋_GB2312" w:cs="宋体"/>
          <w:color w:val="auto"/>
          <w:sz w:val="32"/>
          <w:szCs w:val="32"/>
          <w:u w:val="none"/>
        </w:rPr>
        <w:t>检查方案、现场检查报告、《药品检查综合评定报告书》、</w:t>
      </w:r>
      <w:r>
        <w:rPr>
          <w:rFonts w:hint="eastAsia" w:ascii="仿宋_GB2312" w:hAnsi="宋体" w:eastAsia="仿宋_GB2312" w:cs="宋体"/>
          <w:color w:val="auto"/>
          <w:sz w:val="32"/>
          <w:szCs w:val="32"/>
          <w:u w:val="none"/>
          <w:lang w:eastAsia="zh-CN"/>
        </w:rPr>
        <w:t>检查结果处理相关文书材料、申请人</w:t>
      </w:r>
      <w:r>
        <w:rPr>
          <w:rFonts w:hint="eastAsia" w:ascii="仿宋_GB2312" w:hAnsi="宋体" w:eastAsia="仿宋_GB2312" w:cs="宋体"/>
          <w:color w:val="auto"/>
          <w:sz w:val="32"/>
          <w:szCs w:val="32"/>
          <w:u w:val="none"/>
          <w:lang w:val="en-US" w:eastAsia="zh-CN"/>
        </w:rPr>
        <w:t>/持有人和生产企业</w:t>
      </w:r>
      <w:r>
        <w:rPr>
          <w:rFonts w:hint="eastAsia" w:ascii="仿宋_GB2312" w:hAnsi="宋体" w:eastAsia="仿宋_GB2312" w:cs="宋体"/>
          <w:color w:val="auto"/>
          <w:sz w:val="32"/>
          <w:szCs w:val="32"/>
          <w:u w:val="none"/>
        </w:rPr>
        <w:t>整改</w:t>
      </w:r>
      <w:r>
        <w:rPr>
          <w:rFonts w:hint="eastAsia" w:ascii="仿宋_GB2312" w:hAnsi="宋体" w:eastAsia="仿宋_GB2312" w:cs="宋体"/>
          <w:color w:val="auto"/>
          <w:sz w:val="32"/>
          <w:szCs w:val="32"/>
          <w:u w:val="none"/>
          <w:lang w:eastAsia="zh-CN"/>
        </w:rPr>
        <w:t>报告等</w:t>
      </w:r>
      <w:r>
        <w:rPr>
          <w:rFonts w:hint="eastAsia" w:ascii="仿宋_GB2312" w:hAnsi="宋体" w:eastAsia="仿宋_GB2312" w:cs="宋体"/>
          <w:color w:val="auto"/>
          <w:sz w:val="32"/>
          <w:szCs w:val="32"/>
          <w:u w:val="none"/>
        </w:rPr>
        <w:t>按规定</w:t>
      </w:r>
      <w:r>
        <w:rPr>
          <w:rFonts w:hint="eastAsia" w:ascii="仿宋_GB2312" w:hAnsi="宋体" w:eastAsia="仿宋_GB2312" w:cs="宋体"/>
          <w:color w:val="auto"/>
          <w:sz w:val="32"/>
          <w:szCs w:val="32"/>
          <w:u w:val="none"/>
          <w:lang w:eastAsia="zh-CN"/>
        </w:rPr>
        <w:t>及时</w:t>
      </w:r>
      <w:r>
        <w:rPr>
          <w:rFonts w:hint="eastAsia" w:ascii="仿宋_GB2312" w:hAnsi="宋体" w:eastAsia="仿宋_GB2312" w:cs="宋体"/>
          <w:color w:val="auto"/>
          <w:sz w:val="32"/>
          <w:szCs w:val="32"/>
          <w:u w:val="none"/>
        </w:rPr>
        <w:t>整理归档，并</w:t>
      </w:r>
      <w:r>
        <w:rPr>
          <w:rFonts w:hint="eastAsia" w:ascii="仿宋_GB2312" w:hAnsi="宋体" w:eastAsia="仿宋_GB2312" w:cs="宋体"/>
          <w:color w:val="auto"/>
          <w:sz w:val="32"/>
          <w:szCs w:val="32"/>
          <w:u w:val="none"/>
          <w:lang w:eastAsia="zh-CN"/>
        </w:rPr>
        <w:t>将检查相关信息</w:t>
      </w:r>
      <w:r>
        <w:rPr>
          <w:rFonts w:hint="eastAsia" w:ascii="仿宋_GB2312" w:hAnsi="宋体" w:eastAsia="仿宋_GB2312" w:cs="宋体"/>
          <w:color w:val="auto"/>
          <w:sz w:val="32"/>
          <w:szCs w:val="32"/>
          <w:u w:val="none"/>
        </w:rPr>
        <w:t>按要求上传国家</w:t>
      </w:r>
      <w:r>
        <w:rPr>
          <w:rFonts w:hint="eastAsia" w:ascii="仿宋_GB2312" w:hAnsi="宋体" w:eastAsia="仿宋_GB2312" w:cs="宋体"/>
          <w:color w:val="auto"/>
          <w:sz w:val="32"/>
          <w:szCs w:val="32"/>
          <w:u w:val="none"/>
          <w:lang w:eastAsia="zh-CN"/>
        </w:rPr>
        <w:t>、省政务网、</w:t>
      </w:r>
      <w:r>
        <w:rPr>
          <w:rFonts w:hint="eastAsia" w:ascii="仿宋_GB2312" w:hAnsi="宋体" w:eastAsia="仿宋_GB2312" w:cs="宋体"/>
          <w:color w:val="auto"/>
          <w:sz w:val="32"/>
          <w:szCs w:val="32"/>
          <w:u w:val="none"/>
        </w:rPr>
        <w:t>省局</w:t>
      </w:r>
      <w:r>
        <w:rPr>
          <w:rFonts w:hint="eastAsia" w:ascii="仿宋_GB2312" w:hAnsi="宋体" w:eastAsia="仿宋_GB2312" w:cs="宋体"/>
          <w:color w:val="auto"/>
          <w:sz w:val="32"/>
          <w:szCs w:val="32"/>
          <w:u w:val="none"/>
          <w:lang w:eastAsia="zh-CN"/>
        </w:rPr>
        <w:t>有关</w:t>
      </w:r>
      <w:r>
        <w:rPr>
          <w:rFonts w:hint="eastAsia" w:ascii="仿宋_GB2312" w:hAnsi="宋体" w:eastAsia="仿宋_GB2312" w:cs="宋体"/>
          <w:color w:val="auto"/>
          <w:sz w:val="32"/>
          <w:szCs w:val="32"/>
          <w:u w:val="none"/>
        </w:rPr>
        <w:t>监管信息系统。</w:t>
      </w:r>
    </w:p>
    <w:p>
      <w:pPr>
        <w:keepNext w:val="0"/>
        <w:keepLines w:val="0"/>
        <w:pageBreakBefore w:val="0"/>
        <w:widowControl w:val="0"/>
        <w:kinsoku/>
        <w:overflowPunct/>
        <w:topLinePunct w:val="0"/>
        <w:autoSpaceDE/>
        <w:autoSpaceDN/>
        <w:bidi w:val="0"/>
        <w:adjustRightInd w:val="0"/>
        <w:snapToGrid w:val="0"/>
        <w:spacing w:line="590" w:lineRule="exact"/>
        <w:ind w:firstLine="640" w:firstLineChars="200"/>
        <w:jc w:val="both"/>
        <w:textAlignment w:val="auto"/>
        <w:rPr>
          <w:rFonts w:hint="default" w:ascii="仿宋_GB2312" w:hAnsi="宋体" w:eastAsia="仿宋_GB2312" w:cs="宋体"/>
          <w:color w:val="auto"/>
          <w:sz w:val="32"/>
          <w:szCs w:val="32"/>
          <w:u w:val="none"/>
          <w:lang w:val="en-US" w:eastAsia="zh-CN"/>
        </w:rPr>
      </w:pPr>
      <w:r>
        <w:rPr>
          <w:rFonts w:hint="eastAsia" w:ascii="仿宋_GB2312" w:hAnsi="宋体" w:eastAsia="仿宋_GB2312" w:cs="宋体"/>
          <w:color w:val="auto"/>
          <w:sz w:val="32"/>
          <w:szCs w:val="32"/>
          <w:u w:val="none"/>
          <w:lang w:eastAsia="zh-CN"/>
        </w:rPr>
        <w:t>依申请的</w:t>
      </w:r>
      <w:r>
        <w:rPr>
          <w:rFonts w:hint="eastAsia" w:ascii="仿宋_GB2312" w:hAnsi="宋体" w:eastAsia="仿宋_GB2312" w:cs="宋体"/>
          <w:color w:val="auto"/>
          <w:sz w:val="32"/>
          <w:szCs w:val="32"/>
          <w:u w:val="none"/>
          <w:lang w:val="en-US" w:eastAsia="zh-CN"/>
        </w:rPr>
        <w:t>GMP符合性检查资料归档及信息归集参照本条规定执行。</w:t>
      </w:r>
    </w:p>
    <w:p>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90" w:lineRule="exact"/>
        <w:ind w:left="0" w:right="0" w:firstLine="640" w:firstLineChars="200"/>
        <w:jc w:val="both"/>
        <w:textAlignment w:val="auto"/>
        <w:rPr>
          <w:rFonts w:hint="eastAsia" w:ascii="仿宋_GB2312" w:hAnsi="Times New Roman" w:eastAsia="仿宋_GB2312" w:cs="仿宋_GB2312"/>
          <w:color w:val="auto"/>
          <w:kern w:val="2"/>
          <w:sz w:val="32"/>
          <w:szCs w:val="32"/>
          <w:u w:val="none"/>
          <w:lang w:val="en-US" w:eastAsia="zh-CN" w:bidi="ar-SA"/>
        </w:rPr>
      </w:pPr>
      <w:r>
        <w:rPr>
          <w:rFonts w:hint="eastAsia" w:ascii="仿宋_GB2312" w:hAnsi="宋体" w:eastAsia="仿宋_GB2312" w:cs="宋体"/>
          <w:b/>
          <w:bCs/>
          <w:color w:val="auto"/>
          <w:sz w:val="32"/>
          <w:szCs w:val="32"/>
          <w:u w:val="none"/>
          <w:lang w:eastAsia="zh-CN"/>
        </w:rPr>
        <w:t>第二十</w:t>
      </w:r>
      <w:r>
        <w:rPr>
          <w:rFonts w:hint="eastAsia" w:ascii="仿宋_GB2312" w:eastAsia="仿宋_GB2312" w:cs="宋体"/>
          <w:b/>
          <w:bCs/>
          <w:color w:val="auto"/>
          <w:sz w:val="32"/>
          <w:szCs w:val="32"/>
          <w:u w:val="none"/>
          <w:lang w:eastAsia="zh-CN"/>
        </w:rPr>
        <w:t>七</w:t>
      </w:r>
      <w:r>
        <w:rPr>
          <w:rFonts w:hint="eastAsia" w:ascii="仿宋_GB2312" w:hAnsi="宋体" w:eastAsia="仿宋_GB2312" w:cs="宋体"/>
          <w:b/>
          <w:bCs/>
          <w:color w:val="auto"/>
          <w:sz w:val="32"/>
          <w:szCs w:val="32"/>
          <w:u w:val="none"/>
          <w:lang w:eastAsia="zh-CN"/>
        </w:rPr>
        <w:t>条</w:t>
      </w:r>
      <w:r>
        <w:rPr>
          <w:rFonts w:hint="eastAsia" w:ascii="仿宋_GB2312" w:hAnsi="宋体" w:eastAsia="仿宋_GB2312" w:cs="宋体"/>
          <w:color w:val="auto"/>
          <w:sz w:val="32"/>
          <w:szCs w:val="32"/>
          <w:u w:val="none"/>
          <w:lang w:val="en-US" w:eastAsia="zh-CN"/>
        </w:rPr>
        <w:t xml:space="preserve"> </w:t>
      </w:r>
      <w:r>
        <w:rPr>
          <w:rFonts w:hint="eastAsia" w:ascii="仿宋_GB2312" w:eastAsia="仿宋_GB2312" w:cs="宋体"/>
          <w:b/>
          <w:bCs/>
          <w:color w:val="auto"/>
          <w:sz w:val="32"/>
          <w:szCs w:val="32"/>
          <w:u w:val="none"/>
          <w:lang w:val="en-US" w:eastAsia="zh-CN"/>
        </w:rPr>
        <w:t>（风险管控）</w:t>
      </w:r>
      <w:r>
        <w:rPr>
          <w:rFonts w:hint="eastAsia" w:ascii="仿宋_GB2312" w:hAnsi="Times New Roman" w:eastAsia="仿宋_GB2312" w:cs="仿宋_GB2312"/>
          <w:color w:val="auto"/>
          <w:kern w:val="2"/>
          <w:sz w:val="32"/>
          <w:szCs w:val="32"/>
          <w:u w:val="none"/>
          <w:lang w:val="en-US" w:eastAsia="zh-CN" w:bidi="ar-SA"/>
        </w:rPr>
        <w:t>实施依职权的GMP符合性检查，发现持有人、生产企业存在严重缺陷或多项关联主要缺陷，表明其质量管理体系不能有效运行的，综合评定结论为不符合要求的，应依法依风险采取约谈、告诫、限期整改、暂停生产、销售等风险控制措施。检查分局组织的检查，经分局批准后实施，除此以外的检查，经批准后由药生处实施。</w:t>
      </w:r>
    </w:p>
    <w:p>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90" w:lineRule="exact"/>
        <w:ind w:left="0" w:right="0" w:firstLine="640" w:firstLineChars="200"/>
        <w:jc w:val="both"/>
        <w:textAlignment w:val="auto"/>
        <w:rPr>
          <w:rFonts w:hint="default" w:ascii="仿宋_GB2312" w:hAnsi="Times New Roman" w:eastAsia="仿宋_GB2312" w:cs="仿宋_GB2312"/>
          <w:color w:val="auto"/>
          <w:kern w:val="2"/>
          <w:sz w:val="32"/>
          <w:szCs w:val="32"/>
          <w:u w:val="none"/>
          <w:lang w:val="en-US" w:eastAsia="zh-CN" w:bidi="ar-SA"/>
        </w:rPr>
      </w:pPr>
      <w:r>
        <w:rPr>
          <w:rFonts w:hint="eastAsia" w:ascii="仿宋_GB2312" w:hAnsi="Times New Roman" w:eastAsia="仿宋_GB2312" w:cs="仿宋_GB2312"/>
          <w:color w:val="auto"/>
          <w:kern w:val="2"/>
          <w:sz w:val="32"/>
          <w:szCs w:val="32"/>
          <w:u w:val="none"/>
          <w:lang w:val="en-US" w:eastAsia="zh-CN" w:bidi="ar-SA"/>
        </w:rPr>
        <w:t>采取暂停生产、销售风险控制措施前，应允许被检查单位陈述、申辩。GMP符合性检查中发现被检查单位涉嫌违法的，应依法通报、移送并依法调查、处罚。</w:t>
      </w:r>
      <w:r>
        <w:rPr>
          <w:rFonts w:hint="eastAsia" w:ascii="仿宋_GB2312" w:eastAsia="仿宋_GB2312" w:cs="宋体"/>
          <w:b/>
          <w:bCs/>
          <w:color w:val="auto"/>
          <w:sz w:val="32"/>
          <w:szCs w:val="32"/>
          <w:u w:val="none"/>
          <w:lang w:val="en-US" w:eastAsia="zh-CN"/>
        </w:rPr>
        <w:t xml:space="preserve"> </w:t>
      </w:r>
    </w:p>
    <w:p>
      <w:pPr>
        <w:keepNext w:val="0"/>
        <w:keepLines w:val="0"/>
        <w:pageBreakBefore w:val="0"/>
        <w:widowControl w:val="0"/>
        <w:numPr>
          <w:ilvl w:val="0"/>
          <w:numId w:val="0"/>
        </w:numPr>
        <w:suppressLineNumbers w:val="0"/>
        <w:kinsoku/>
        <w:overflowPunct/>
        <w:topLinePunct w:val="0"/>
        <w:autoSpaceDE/>
        <w:autoSpaceDN/>
        <w:bidi w:val="0"/>
        <w:adjustRightInd w:val="0"/>
        <w:snapToGrid w:val="0"/>
        <w:spacing w:before="0" w:beforeAutospacing="0" w:afterAutospacing="0" w:line="590" w:lineRule="exact"/>
        <w:ind w:right="0" w:rightChars="0"/>
        <w:jc w:val="center"/>
        <w:textAlignment w:val="auto"/>
        <w:rPr>
          <w:rFonts w:hint="eastAsia" w:ascii="黑体" w:hAnsi="黑体" w:eastAsia="黑体" w:cs="黑体"/>
          <w:b w:val="0"/>
          <w:bCs w:val="0"/>
          <w:color w:val="auto"/>
          <w:kern w:val="2"/>
          <w:sz w:val="32"/>
          <w:szCs w:val="32"/>
          <w:u w:val="none"/>
          <w:lang w:val="en-US" w:eastAsia="zh-CN"/>
        </w:rPr>
      </w:pPr>
      <w:r>
        <w:rPr>
          <w:rFonts w:hint="eastAsia" w:ascii="黑体" w:hAnsi="黑体" w:eastAsia="黑体" w:cs="黑体"/>
          <w:b w:val="0"/>
          <w:bCs w:val="0"/>
          <w:color w:val="auto"/>
          <w:kern w:val="2"/>
          <w:sz w:val="32"/>
          <w:szCs w:val="32"/>
          <w:u w:val="none"/>
          <w:lang w:val="en-US" w:eastAsia="zh-CN"/>
        </w:rPr>
        <w:t>第五章 检查优化及其他</w:t>
      </w:r>
    </w:p>
    <w:p>
      <w:pPr>
        <w:keepNext w:val="0"/>
        <w:keepLines w:val="0"/>
        <w:pageBreakBefore w:val="0"/>
        <w:widowControl w:val="0"/>
        <w:numPr>
          <w:ilvl w:val="0"/>
          <w:numId w:val="0"/>
        </w:numPr>
        <w:suppressLineNumbers w:val="0"/>
        <w:kinsoku/>
        <w:overflowPunct/>
        <w:topLinePunct w:val="0"/>
        <w:autoSpaceDE/>
        <w:autoSpaceDN/>
        <w:bidi w:val="0"/>
        <w:adjustRightInd w:val="0"/>
        <w:snapToGrid w:val="0"/>
        <w:spacing w:before="0" w:beforeAutospacing="0" w:afterAutospacing="0" w:line="590" w:lineRule="exact"/>
        <w:ind w:right="0" w:rightChars="0" w:firstLine="640" w:firstLineChars="200"/>
        <w:jc w:val="both"/>
        <w:textAlignment w:val="auto"/>
        <w:rPr>
          <w:rFonts w:hint="eastAsia" w:ascii="仿宋_GB2312" w:hAnsi="Times New Roman" w:eastAsia="仿宋_GB2312" w:cs="仿宋_GB2312"/>
          <w:b w:val="0"/>
          <w:bCs w:val="0"/>
          <w:color w:val="auto"/>
          <w:kern w:val="2"/>
          <w:sz w:val="32"/>
          <w:szCs w:val="32"/>
          <w:u w:val="none"/>
          <w:lang w:val="en-US" w:eastAsia="zh-CN"/>
        </w:rPr>
      </w:pPr>
      <w:r>
        <w:rPr>
          <w:rFonts w:hint="eastAsia" w:ascii="仿宋_GB2312" w:hAnsi="Times New Roman" w:eastAsia="仿宋_GB2312" w:cs="仿宋_GB2312"/>
          <w:b/>
          <w:bCs/>
          <w:color w:val="auto"/>
          <w:kern w:val="2"/>
          <w:sz w:val="32"/>
          <w:szCs w:val="32"/>
          <w:u w:val="none"/>
          <w:lang w:val="en-US" w:eastAsia="zh-CN"/>
        </w:rPr>
        <w:t>第二十八条（简化检查）</w:t>
      </w:r>
      <w:r>
        <w:rPr>
          <w:rFonts w:hint="eastAsia" w:ascii="仿宋_GB2312" w:hAnsi="Times New Roman" w:eastAsia="仿宋_GB2312" w:cs="仿宋_GB2312"/>
          <w:b w:val="0"/>
          <w:bCs w:val="0"/>
          <w:color w:val="auto"/>
          <w:kern w:val="2"/>
          <w:sz w:val="32"/>
          <w:szCs w:val="32"/>
          <w:u w:val="none"/>
          <w:lang w:val="en-US" w:eastAsia="zh-CN"/>
        </w:rPr>
        <w:t>为提高检查效率，有以下情形之一的，经研判检查质量可控的，可以优化GMP符合性检查程序。</w:t>
      </w:r>
    </w:p>
    <w:p>
      <w:pPr>
        <w:keepNext w:val="0"/>
        <w:keepLines w:val="0"/>
        <w:pageBreakBefore w:val="0"/>
        <w:widowControl w:val="0"/>
        <w:numPr>
          <w:ilvl w:val="0"/>
          <w:numId w:val="0"/>
        </w:numPr>
        <w:suppressLineNumbers w:val="0"/>
        <w:kinsoku/>
        <w:overflowPunct/>
        <w:topLinePunct w:val="0"/>
        <w:autoSpaceDE/>
        <w:autoSpaceDN/>
        <w:bidi w:val="0"/>
        <w:adjustRightInd w:val="0"/>
        <w:snapToGrid w:val="0"/>
        <w:spacing w:before="0" w:beforeAutospacing="0" w:afterAutospacing="0" w:line="590" w:lineRule="exact"/>
        <w:ind w:right="0" w:rightChars="0" w:firstLine="640" w:firstLineChars="200"/>
        <w:jc w:val="both"/>
        <w:textAlignment w:val="auto"/>
        <w:rPr>
          <w:rFonts w:hint="eastAsia" w:ascii="仿宋_GB2312" w:hAnsi="Times New Roman" w:eastAsia="仿宋_GB2312" w:cs="仿宋_GB2312"/>
          <w:color w:val="auto"/>
          <w:kern w:val="2"/>
          <w:sz w:val="32"/>
          <w:szCs w:val="32"/>
          <w:u w:val="none"/>
          <w:lang w:val="en-US" w:eastAsia="zh-CN"/>
        </w:rPr>
      </w:pPr>
      <w:r>
        <w:rPr>
          <w:rFonts w:hint="eastAsia" w:ascii="仿宋_GB2312" w:hAnsi="Times New Roman" w:eastAsia="仿宋_GB2312" w:cs="仿宋_GB2312"/>
          <w:b w:val="0"/>
          <w:bCs w:val="0"/>
          <w:color w:val="auto"/>
          <w:kern w:val="2"/>
          <w:sz w:val="32"/>
          <w:szCs w:val="32"/>
          <w:u w:val="none"/>
          <w:lang w:val="en-US" w:eastAsia="zh-CN"/>
        </w:rPr>
        <w:t>（一）</w:t>
      </w:r>
      <w:r>
        <w:rPr>
          <w:rFonts w:hint="eastAsia" w:ascii="仿宋_GB2312" w:hAnsi="Times New Roman" w:eastAsia="仿宋_GB2312" w:cs="仿宋_GB2312"/>
          <w:color w:val="auto"/>
          <w:kern w:val="2"/>
          <w:sz w:val="32"/>
          <w:szCs w:val="32"/>
          <w:u w:val="none"/>
          <w:lang w:val="en-US" w:eastAsia="zh-CN"/>
        </w:rPr>
        <w:t>《药品生产许可证》变更或重新发放期间申请GMP符合性检查的，针对同一持有人、同一生产企业的药品生产许可相关检查、GMP符合性检查等原则上应当合并实施。</w:t>
      </w:r>
    </w:p>
    <w:p>
      <w:pPr>
        <w:keepNext w:val="0"/>
        <w:keepLines w:val="0"/>
        <w:widowControl w:val="0"/>
        <w:numPr>
          <w:ilvl w:val="0"/>
          <w:numId w:val="0"/>
        </w:numPr>
        <w:suppressLineNumbers w:val="0"/>
        <w:adjustRightInd w:val="0"/>
        <w:snapToGrid w:val="0"/>
        <w:spacing w:before="0" w:beforeAutospacing="0" w:after="0" w:afterAutospacing="0" w:line="590" w:lineRule="exact"/>
        <w:ind w:right="0" w:rightChars="0" w:firstLine="640" w:firstLineChars="200"/>
        <w:jc w:val="both"/>
        <w:rPr>
          <w:rFonts w:hint="default" w:ascii="仿宋_GB2312" w:hAnsi="Times New Roman" w:eastAsia="仿宋_GB2312" w:cs="仿宋_GB2312"/>
          <w:color w:val="auto"/>
          <w:kern w:val="2"/>
          <w:sz w:val="32"/>
          <w:szCs w:val="32"/>
          <w:u w:val="none"/>
          <w:lang w:val="en-US" w:eastAsia="zh-CN"/>
        </w:rPr>
      </w:pPr>
      <w:r>
        <w:rPr>
          <w:rFonts w:hint="eastAsia" w:ascii="仿宋_GB2312" w:hAnsi="Times New Roman" w:eastAsia="仿宋_GB2312" w:cs="仿宋_GB2312"/>
          <w:color w:val="auto"/>
          <w:kern w:val="2"/>
          <w:sz w:val="32"/>
          <w:szCs w:val="32"/>
          <w:u w:val="none"/>
          <w:lang w:val="en-US" w:eastAsia="zh-CN"/>
        </w:rPr>
        <w:t>（二）已通过GMP符合性检查的车间或生产线，</w:t>
      </w:r>
      <w:r>
        <w:rPr>
          <w:rFonts w:hint="eastAsia" w:ascii="仿宋_GB2312" w:hAnsi="Times New Roman" w:eastAsia="仿宋_GB2312" w:cs="仿宋_GB2312"/>
          <w:color w:val="auto"/>
          <w:sz w:val="32"/>
          <w:szCs w:val="32"/>
          <w:u w:val="none"/>
        </w:rPr>
        <w:t>非关键生产设备变更</w:t>
      </w:r>
      <w:r>
        <w:rPr>
          <w:rFonts w:hint="eastAsia" w:ascii="仿宋_GB2312" w:hAnsi="Times New Roman" w:eastAsia="仿宋_GB2312" w:cs="仿宋_GB2312"/>
          <w:color w:val="auto"/>
          <w:sz w:val="32"/>
          <w:szCs w:val="32"/>
          <w:u w:val="none"/>
          <w:lang w:eastAsia="zh-CN"/>
        </w:rPr>
        <w:t>、</w:t>
      </w:r>
      <w:r>
        <w:rPr>
          <w:rFonts w:hint="eastAsia" w:ascii="仿宋_GB2312" w:hAnsi="Times New Roman" w:eastAsia="仿宋_GB2312" w:cs="仿宋_GB2312"/>
          <w:color w:val="auto"/>
          <w:sz w:val="32"/>
          <w:szCs w:val="32"/>
          <w:u w:val="none"/>
        </w:rPr>
        <w:t>局部功能间调整或改建扩建部分车间</w:t>
      </w:r>
      <w:r>
        <w:rPr>
          <w:rFonts w:hint="eastAsia" w:ascii="仿宋_GB2312" w:hAnsi="Times New Roman" w:eastAsia="仿宋_GB2312" w:cs="仿宋_GB2312"/>
          <w:color w:val="auto"/>
          <w:sz w:val="32"/>
          <w:szCs w:val="32"/>
          <w:u w:val="none"/>
          <w:lang w:eastAsia="zh-CN"/>
        </w:rPr>
        <w:t>，不属于本程序</w:t>
      </w:r>
      <w:r>
        <w:rPr>
          <w:rFonts w:hint="eastAsia" w:ascii="仿宋_GB2312" w:hAnsi="Times New Roman" w:eastAsia="仿宋_GB2312" w:cs="仿宋_GB2312"/>
          <w:color w:val="auto"/>
          <w:sz w:val="32"/>
          <w:szCs w:val="32"/>
          <w:u w:val="none"/>
        </w:rPr>
        <w:t>第六条第一款情形的</w:t>
      </w:r>
      <w:r>
        <w:rPr>
          <w:rFonts w:hint="eastAsia" w:ascii="仿宋_GB2312" w:hAnsi="Times New Roman" w:eastAsia="仿宋_GB2312" w:cs="仿宋_GB2312"/>
          <w:color w:val="auto"/>
          <w:sz w:val="32"/>
          <w:szCs w:val="32"/>
          <w:u w:val="none"/>
          <w:lang w:eastAsia="zh-CN"/>
        </w:rPr>
        <w:t>，</w:t>
      </w:r>
      <w:r>
        <w:rPr>
          <w:rFonts w:hint="eastAsia" w:ascii="仿宋_GB2312" w:hAnsi="Times New Roman" w:eastAsia="仿宋_GB2312" w:cs="仿宋_GB2312"/>
          <w:color w:val="auto"/>
          <w:kern w:val="2"/>
          <w:sz w:val="32"/>
          <w:szCs w:val="32"/>
          <w:u w:val="none"/>
          <w:lang w:val="en-US" w:eastAsia="zh-CN"/>
        </w:rPr>
        <w:t>纳入所在地检查分局日常监管，并</w:t>
      </w:r>
      <w:r>
        <w:rPr>
          <w:rFonts w:hint="eastAsia" w:ascii="仿宋_GB2312" w:hAnsi="Times New Roman" w:eastAsia="仿宋_GB2312" w:cs="仿宋_GB2312"/>
          <w:color w:val="auto"/>
          <w:sz w:val="32"/>
          <w:szCs w:val="32"/>
          <w:u w:val="none"/>
        </w:rPr>
        <w:t>由持有人进行年度报告</w:t>
      </w:r>
      <w:r>
        <w:rPr>
          <w:rFonts w:hint="eastAsia" w:ascii="仿宋_GB2312" w:hAnsi="Times New Roman" w:eastAsia="仿宋_GB2312" w:cs="仿宋_GB2312"/>
          <w:color w:val="auto"/>
          <w:sz w:val="32"/>
          <w:szCs w:val="32"/>
          <w:u w:val="none"/>
          <w:lang w:eastAsia="zh-CN"/>
        </w:rPr>
        <w:t>，</w:t>
      </w:r>
      <w:r>
        <w:rPr>
          <w:rFonts w:hint="eastAsia" w:ascii="仿宋_GB2312" w:hAnsi="Times New Roman" w:eastAsia="仿宋_GB2312" w:cs="仿宋_GB2312"/>
          <w:color w:val="auto"/>
          <w:kern w:val="2"/>
          <w:sz w:val="32"/>
          <w:szCs w:val="32"/>
          <w:u w:val="none"/>
          <w:lang w:val="en-US" w:eastAsia="zh-CN"/>
        </w:rPr>
        <w:t>原则上无需再次申请检查。</w:t>
      </w:r>
    </w:p>
    <w:p>
      <w:pPr>
        <w:keepNext w:val="0"/>
        <w:keepLines w:val="0"/>
        <w:widowControl w:val="0"/>
        <w:numPr>
          <w:ilvl w:val="0"/>
          <w:numId w:val="0"/>
        </w:numPr>
        <w:suppressLineNumbers w:val="0"/>
        <w:spacing w:before="0" w:beforeAutospacing="0" w:after="0" w:afterAutospacing="0" w:line="590" w:lineRule="exact"/>
        <w:ind w:right="0" w:rightChars="0" w:firstLine="640" w:firstLineChars="200"/>
        <w:jc w:val="both"/>
        <w:rPr>
          <w:rFonts w:hint="eastAsia" w:ascii="仿宋_GB2312" w:hAnsi="Times New Roman" w:eastAsia="仿宋_GB2312" w:cs="仿宋_GB2312"/>
          <w:color w:val="auto"/>
          <w:kern w:val="2"/>
          <w:sz w:val="32"/>
          <w:szCs w:val="32"/>
          <w:u w:val="none"/>
          <w:lang w:val="en-US" w:eastAsia="zh-CN"/>
        </w:rPr>
      </w:pPr>
      <w:r>
        <w:rPr>
          <w:rFonts w:hint="eastAsia" w:ascii="仿宋_GB2312" w:hAnsi="Times New Roman" w:eastAsia="仿宋_GB2312" w:cs="仿宋_GB2312"/>
          <w:color w:val="auto"/>
          <w:kern w:val="2"/>
          <w:sz w:val="32"/>
          <w:szCs w:val="32"/>
          <w:u w:val="none"/>
          <w:lang w:val="en-US" w:eastAsia="zh-CN"/>
        </w:rPr>
        <w:t>（三）境外生产药品分包装生产且需要在境内进行药品内包装的，涉及的片剂、胶囊剂车间/生产线已通过GMP符合性检查且符合本程序规定年限的，原则上无需申请GMP符合性检查。涉及的片剂、胶囊剂车间/生产线未通过或通过时间已超本程序第二十二条规定年限的，需要再次申请检查。</w:t>
      </w:r>
    </w:p>
    <w:p>
      <w:pPr>
        <w:keepNext w:val="0"/>
        <w:keepLines w:val="0"/>
        <w:pageBreakBefore w:val="0"/>
        <w:numPr>
          <w:ilvl w:val="0"/>
          <w:numId w:val="0"/>
        </w:numPr>
        <w:kinsoku/>
        <w:overflowPunct/>
        <w:topLinePunct w:val="0"/>
        <w:autoSpaceDE/>
        <w:autoSpaceDN/>
        <w:bidi w:val="0"/>
        <w:adjustRightInd w:val="0"/>
        <w:snapToGrid w:val="0"/>
        <w:spacing w:line="590" w:lineRule="exact"/>
        <w:ind w:firstLine="640" w:firstLineChars="200"/>
        <w:jc w:val="both"/>
        <w:textAlignment w:val="auto"/>
        <w:rPr>
          <w:rFonts w:hint="eastAsia" w:ascii="仿宋_GB2312" w:hAnsi="Times New Roman" w:eastAsia="仿宋_GB2312" w:cs="仿宋_GB2312"/>
          <w:color w:val="auto"/>
          <w:kern w:val="2"/>
          <w:sz w:val="32"/>
          <w:szCs w:val="32"/>
          <w:u w:val="none"/>
          <w:lang w:val="en-US" w:eastAsia="zh-CN"/>
        </w:rPr>
      </w:pPr>
      <w:r>
        <w:rPr>
          <w:rFonts w:hint="eastAsia" w:ascii="仿宋_GB2312" w:hAnsi="Times New Roman" w:eastAsia="仿宋_GB2312" w:cs="仿宋_GB2312"/>
          <w:color w:val="auto"/>
          <w:kern w:val="2"/>
          <w:sz w:val="32"/>
          <w:szCs w:val="32"/>
          <w:u w:val="none"/>
          <w:lang w:val="en-US" w:eastAsia="zh-CN"/>
        </w:rPr>
        <w:t>境外生产药品分包装生产且已在境外完成内包装，仅在境内进行贴签、装盒等外包装生产的，相关车间/生产线已通过GMP符合性检查的，原则上无需再次申请检查。</w:t>
      </w:r>
    </w:p>
    <w:p>
      <w:pPr>
        <w:keepNext w:val="0"/>
        <w:keepLines w:val="0"/>
        <w:pageBreakBefore w:val="0"/>
        <w:numPr>
          <w:ilvl w:val="0"/>
          <w:numId w:val="0"/>
        </w:numPr>
        <w:kinsoku/>
        <w:overflowPunct/>
        <w:topLinePunct w:val="0"/>
        <w:autoSpaceDE/>
        <w:autoSpaceDN/>
        <w:bidi w:val="0"/>
        <w:adjustRightInd w:val="0"/>
        <w:snapToGrid w:val="0"/>
        <w:spacing w:line="590" w:lineRule="exact"/>
        <w:ind w:firstLine="640" w:firstLineChars="200"/>
        <w:jc w:val="both"/>
        <w:textAlignment w:val="auto"/>
        <w:rPr>
          <w:rFonts w:hint="eastAsia" w:ascii="仿宋_GB2312" w:hAnsi="Times New Roman" w:eastAsia="仿宋_GB2312" w:cs="仿宋_GB2312"/>
          <w:color w:val="auto"/>
          <w:kern w:val="2"/>
          <w:sz w:val="32"/>
          <w:szCs w:val="32"/>
          <w:u w:val="none"/>
          <w:lang w:val="en-US" w:eastAsia="zh-CN"/>
        </w:rPr>
      </w:pPr>
      <w:r>
        <w:rPr>
          <w:rFonts w:hint="eastAsia" w:ascii="仿宋_GB2312" w:hAnsi="Times New Roman" w:eastAsia="仿宋_GB2312" w:cs="仿宋_GB2312"/>
          <w:color w:val="auto"/>
          <w:kern w:val="2"/>
          <w:sz w:val="32"/>
          <w:szCs w:val="32"/>
          <w:u w:val="none"/>
          <w:lang w:val="en-US" w:eastAsia="zh-CN"/>
        </w:rPr>
        <w:t>（四）相应剂型（车间/生产线）已通过GMP符合性检查且符合本程序规定年限的，</w:t>
      </w:r>
      <w:r>
        <w:rPr>
          <w:rFonts w:hint="eastAsia" w:ascii="仿宋_GB2312" w:hAnsi="Times New Roman" w:eastAsia="仿宋_GB2312" w:cs="仿宋_GB2312"/>
          <w:color w:val="auto"/>
          <w:sz w:val="32"/>
          <w:szCs w:val="32"/>
          <w:u w:val="none"/>
          <w:lang w:eastAsia="zh-CN"/>
        </w:rPr>
        <w:t>持有人或生产企业</w:t>
      </w:r>
      <w:r>
        <w:rPr>
          <w:rFonts w:hint="eastAsia" w:ascii="仿宋_GB2312" w:hAnsi="Times New Roman" w:eastAsia="仿宋_GB2312" w:cs="仿宋_GB2312"/>
          <w:color w:val="auto"/>
          <w:sz w:val="32"/>
          <w:szCs w:val="32"/>
          <w:u w:val="none"/>
        </w:rPr>
        <w:t>增加同剂型药品</w:t>
      </w:r>
      <w:r>
        <w:rPr>
          <w:rFonts w:hint="eastAsia" w:ascii="仿宋_GB2312" w:hAnsi="Times New Roman" w:eastAsia="仿宋_GB2312" w:cs="仿宋_GB2312"/>
          <w:color w:val="auto"/>
          <w:sz w:val="32"/>
          <w:szCs w:val="32"/>
          <w:u w:val="none"/>
          <w:lang w:eastAsia="zh-CN"/>
        </w:rPr>
        <w:t>的</w:t>
      </w:r>
      <w:r>
        <w:rPr>
          <w:rFonts w:hint="eastAsia" w:ascii="仿宋_GB2312" w:hAnsi="Times New Roman" w:eastAsia="仿宋_GB2312" w:cs="仿宋_GB2312"/>
          <w:color w:val="auto"/>
          <w:sz w:val="32"/>
          <w:szCs w:val="32"/>
          <w:u w:val="none"/>
        </w:rPr>
        <w:t>，无需申请GMP符合性检查，由持有人进行年度报告</w:t>
      </w:r>
      <w:r>
        <w:rPr>
          <w:rFonts w:hint="eastAsia" w:ascii="仿宋_GB2312" w:hAnsi="Times New Roman" w:eastAsia="仿宋_GB2312" w:cs="仿宋_GB2312"/>
          <w:color w:val="auto"/>
          <w:sz w:val="32"/>
          <w:szCs w:val="32"/>
          <w:u w:val="none"/>
          <w:lang w:eastAsia="zh-CN"/>
        </w:rPr>
        <w:t>。</w:t>
      </w:r>
    </w:p>
    <w:p>
      <w:pPr>
        <w:keepNext w:val="0"/>
        <w:keepLines w:val="0"/>
        <w:pageBreakBefore w:val="0"/>
        <w:widowControl/>
        <w:numPr>
          <w:ilvl w:val="0"/>
          <w:numId w:val="0"/>
        </w:numPr>
        <w:suppressLineNumbers w:val="0"/>
        <w:kinsoku/>
        <w:overflowPunct/>
        <w:topLinePunct w:val="0"/>
        <w:autoSpaceDE/>
        <w:autoSpaceDN/>
        <w:bidi w:val="0"/>
        <w:adjustRightInd w:val="0"/>
        <w:snapToGrid w:val="0"/>
        <w:spacing w:before="0" w:beforeAutospacing="0" w:afterAutospacing="0" w:line="590" w:lineRule="exact"/>
        <w:ind w:right="0" w:rightChars="0" w:firstLine="640" w:firstLineChars="200"/>
        <w:jc w:val="both"/>
        <w:textAlignment w:val="auto"/>
        <w:rPr>
          <w:rFonts w:hint="eastAsia" w:ascii="仿宋_GB2312" w:hAnsi="Times New Roman" w:eastAsia="仿宋_GB2312" w:cs="仿宋_GB2312"/>
          <w:b w:val="0"/>
          <w:bCs w:val="0"/>
          <w:color w:val="auto"/>
          <w:sz w:val="32"/>
          <w:szCs w:val="32"/>
          <w:u w:val="none"/>
          <w:lang w:val="en-US" w:eastAsia="zh-CN"/>
        </w:rPr>
      </w:pPr>
      <w:r>
        <w:rPr>
          <w:rFonts w:hint="eastAsia" w:ascii="仿宋_GB2312" w:hAnsi="Times New Roman" w:eastAsia="仿宋_GB2312" w:cs="仿宋_GB2312"/>
          <w:b/>
          <w:bCs/>
          <w:color w:val="auto"/>
          <w:sz w:val="32"/>
          <w:szCs w:val="32"/>
          <w:u w:val="none"/>
          <w:lang w:val="en-US" w:eastAsia="zh-CN"/>
        </w:rPr>
        <w:t>第二十九条（优先检查）</w:t>
      </w:r>
      <w:r>
        <w:rPr>
          <w:rFonts w:hint="eastAsia" w:ascii="仿宋_GB2312" w:hAnsi="Times New Roman" w:eastAsia="仿宋_GB2312" w:cs="仿宋_GB2312"/>
          <w:b w:val="0"/>
          <w:bCs w:val="0"/>
          <w:color w:val="auto"/>
          <w:sz w:val="32"/>
          <w:szCs w:val="32"/>
          <w:u w:val="none"/>
          <w:lang w:val="en-US" w:eastAsia="zh-CN"/>
        </w:rPr>
        <w:t>为鼓励创新，促进药品尽早惠及病患，符合下列情形之一的，</w:t>
      </w:r>
      <w:r>
        <w:rPr>
          <w:rFonts w:hint="eastAsia" w:ascii="仿宋_GB2312" w:hAnsi="Times New Roman" w:eastAsia="仿宋_GB2312" w:cs="仿宋_GB2312"/>
          <w:color w:val="auto"/>
          <w:sz w:val="32"/>
          <w:szCs w:val="32"/>
          <w:u w:val="none"/>
        </w:rPr>
        <w:t>企业提供证明性文件</w:t>
      </w:r>
      <w:r>
        <w:rPr>
          <w:rFonts w:hint="eastAsia" w:ascii="仿宋_GB2312" w:hAnsi="Times New Roman" w:eastAsia="仿宋_GB2312" w:cs="仿宋_GB2312"/>
          <w:color w:val="auto"/>
          <w:sz w:val="32"/>
          <w:szCs w:val="32"/>
          <w:u w:val="none"/>
          <w:lang w:eastAsia="zh-CN"/>
        </w:rPr>
        <w:t>并</w:t>
      </w:r>
      <w:r>
        <w:rPr>
          <w:rFonts w:hint="eastAsia" w:ascii="仿宋_GB2312" w:hAnsi="Times New Roman" w:eastAsia="仿宋_GB2312" w:cs="仿宋_GB2312"/>
          <w:b w:val="0"/>
          <w:bCs w:val="0"/>
          <w:color w:val="auto"/>
          <w:sz w:val="32"/>
          <w:szCs w:val="32"/>
          <w:u w:val="none"/>
          <w:lang w:val="en-US" w:eastAsia="zh-CN"/>
        </w:rPr>
        <w:t>经研判后可</w:t>
      </w:r>
      <w:r>
        <w:rPr>
          <w:rFonts w:hint="eastAsia" w:ascii="仿宋_GB2312" w:hAnsi="Times New Roman" w:eastAsia="仿宋_GB2312" w:cs="仿宋_GB2312"/>
          <w:b w:val="0"/>
          <w:bCs w:val="0"/>
          <w:color w:val="auto"/>
          <w:kern w:val="2"/>
          <w:sz w:val="32"/>
          <w:szCs w:val="32"/>
          <w:u w:val="none"/>
          <w:lang w:val="en-US" w:eastAsia="zh-CN"/>
        </w:rPr>
        <w:t>优先安排GMP符合性检查。</w:t>
      </w:r>
    </w:p>
    <w:p>
      <w:pPr>
        <w:keepNext w:val="0"/>
        <w:keepLines w:val="0"/>
        <w:pageBreakBefore w:val="0"/>
        <w:widowControl/>
        <w:numPr>
          <w:ilvl w:val="0"/>
          <w:numId w:val="0"/>
        </w:numPr>
        <w:suppressLineNumbers w:val="0"/>
        <w:kinsoku/>
        <w:overflowPunct/>
        <w:topLinePunct w:val="0"/>
        <w:autoSpaceDE/>
        <w:autoSpaceDN/>
        <w:bidi w:val="0"/>
        <w:adjustRightInd w:val="0"/>
        <w:snapToGrid w:val="0"/>
        <w:spacing w:before="0" w:beforeAutospacing="0" w:afterAutospacing="0" w:line="590" w:lineRule="exact"/>
        <w:ind w:right="0" w:rightChars="0" w:firstLine="640" w:firstLineChars="200"/>
        <w:jc w:val="both"/>
        <w:textAlignment w:val="auto"/>
        <w:rPr>
          <w:rFonts w:hint="eastAsia" w:ascii="仿宋_GB2312" w:hAnsi="Times New Roman" w:eastAsia="仿宋_GB2312" w:cs="仿宋_GB2312"/>
          <w:b w:val="0"/>
          <w:bCs w:val="0"/>
          <w:color w:val="auto"/>
          <w:sz w:val="32"/>
          <w:szCs w:val="32"/>
          <w:u w:val="none"/>
          <w:lang w:val="en-US" w:eastAsia="zh-CN"/>
        </w:rPr>
      </w:pPr>
      <w:r>
        <w:rPr>
          <w:rFonts w:hint="eastAsia" w:ascii="仿宋_GB2312" w:hAnsi="Times New Roman" w:eastAsia="仿宋_GB2312" w:cs="仿宋_GB2312"/>
          <w:b w:val="0"/>
          <w:bCs w:val="0"/>
          <w:color w:val="auto"/>
          <w:sz w:val="32"/>
          <w:szCs w:val="32"/>
          <w:u w:val="none"/>
          <w:lang w:val="en-US" w:eastAsia="zh-CN"/>
        </w:rPr>
        <w:t>（一）创新药、应急审批药品、罕见病用药申请上市前的GMP符合性检查的；</w:t>
      </w:r>
    </w:p>
    <w:p>
      <w:pPr>
        <w:keepNext w:val="0"/>
        <w:keepLines w:val="0"/>
        <w:pageBreakBefore w:val="0"/>
        <w:widowControl/>
        <w:numPr>
          <w:ilvl w:val="0"/>
          <w:numId w:val="0"/>
        </w:numPr>
        <w:suppressLineNumbers w:val="0"/>
        <w:kinsoku/>
        <w:overflowPunct/>
        <w:topLinePunct w:val="0"/>
        <w:autoSpaceDE/>
        <w:autoSpaceDN/>
        <w:bidi w:val="0"/>
        <w:adjustRightInd w:val="0"/>
        <w:snapToGrid w:val="0"/>
        <w:spacing w:before="0" w:beforeAutospacing="0" w:afterAutospacing="0" w:line="590" w:lineRule="exact"/>
        <w:ind w:right="0" w:rightChars="0" w:firstLine="640" w:firstLineChars="200"/>
        <w:jc w:val="both"/>
        <w:textAlignment w:val="auto"/>
        <w:rPr>
          <w:rFonts w:hint="eastAsia" w:ascii="仿宋_GB2312" w:hAnsi="Times New Roman" w:eastAsia="仿宋_GB2312" w:cs="仿宋_GB2312"/>
          <w:b w:val="0"/>
          <w:bCs w:val="0"/>
          <w:color w:val="auto"/>
          <w:sz w:val="32"/>
          <w:szCs w:val="32"/>
          <w:u w:val="none"/>
          <w:lang w:val="en-US" w:eastAsia="zh-CN"/>
        </w:rPr>
      </w:pPr>
      <w:r>
        <w:rPr>
          <w:rFonts w:hint="eastAsia" w:ascii="仿宋_GB2312" w:hAnsi="Times New Roman" w:eastAsia="仿宋_GB2312" w:cs="仿宋_GB2312"/>
          <w:b w:val="0"/>
          <w:bCs w:val="0"/>
          <w:color w:val="auto"/>
          <w:sz w:val="32"/>
          <w:szCs w:val="32"/>
          <w:u w:val="none"/>
          <w:lang w:val="en-US" w:eastAsia="zh-CN"/>
        </w:rPr>
        <w:t>（二）集采中选药品变更生产场地申请上市后的GMP符合性检查的；</w:t>
      </w:r>
    </w:p>
    <w:p>
      <w:pPr>
        <w:keepNext w:val="0"/>
        <w:keepLines w:val="0"/>
        <w:pageBreakBefore w:val="0"/>
        <w:widowControl/>
        <w:numPr>
          <w:ilvl w:val="0"/>
          <w:numId w:val="0"/>
        </w:numPr>
        <w:suppressLineNumbers w:val="0"/>
        <w:kinsoku/>
        <w:overflowPunct/>
        <w:topLinePunct w:val="0"/>
        <w:autoSpaceDE/>
        <w:autoSpaceDN/>
        <w:bidi w:val="0"/>
        <w:adjustRightInd w:val="0"/>
        <w:snapToGrid w:val="0"/>
        <w:spacing w:before="0" w:beforeAutospacing="0" w:afterAutospacing="0" w:line="590" w:lineRule="exact"/>
        <w:ind w:right="0" w:rightChars="0" w:firstLine="640" w:firstLineChars="200"/>
        <w:jc w:val="both"/>
        <w:textAlignment w:val="auto"/>
        <w:rPr>
          <w:rFonts w:hint="eastAsia" w:ascii="仿宋_GB2312" w:hAnsi="Times New Roman" w:eastAsia="仿宋_GB2312" w:cs="仿宋_GB2312"/>
          <w:b w:val="0"/>
          <w:bCs w:val="0"/>
          <w:color w:val="auto"/>
          <w:sz w:val="32"/>
          <w:szCs w:val="32"/>
          <w:u w:val="none"/>
          <w:lang w:val="en-US" w:eastAsia="zh-CN"/>
        </w:rPr>
      </w:pPr>
      <w:r>
        <w:rPr>
          <w:rFonts w:hint="eastAsia" w:ascii="仿宋_GB2312" w:hAnsi="Times New Roman" w:eastAsia="仿宋_GB2312" w:cs="仿宋_GB2312"/>
          <w:b w:val="0"/>
          <w:bCs w:val="0"/>
          <w:color w:val="auto"/>
          <w:sz w:val="32"/>
          <w:szCs w:val="32"/>
          <w:u w:val="none"/>
          <w:lang w:val="en-US" w:eastAsia="zh-CN"/>
        </w:rPr>
        <w:t>（三）列入短缺药品供应名单品种申请GMP符合性检查的；</w:t>
      </w:r>
    </w:p>
    <w:p>
      <w:pPr>
        <w:keepNext w:val="0"/>
        <w:keepLines w:val="0"/>
        <w:pageBreakBefore w:val="0"/>
        <w:widowControl/>
        <w:numPr>
          <w:ilvl w:val="0"/>
          <w:numId w:val="0"/>
        </w:numPr>
        <w:suppressLineNumbers w:val="0"/>
        <w:kinsoku/>
        <w:overflowPunct/>
        <w:topLinePunct w:val="0"/>
        <w:autoSpaceDE/>
        <w:autoSpaceDN/>
        <w:bidi w:val="0"/>
        <w:adjustRightInd w:val="0"/>
        <w:snapToGrid w:val="0"/>
        <w:spacing w:before="0" w:beforeAutospacing="0" w:afterAutospacing="0" w:line="590" w:lineRule="exact"/>
        <w:ind w:right="0" w:rightChars="0" w:firstLine="640" w:firstLineChars="200"/>
        <w:jc w:val="both"/>
        <w:textAlignment w:val="auto"/>
        <w:rPr>
          <w:rFonts w:hint="eastAsia" w:ascii="仿宋_GB2312" w:hAnsi="Times New Roman" w:eastAsia="仿宋_GB2312" w:cs="仿宋_GB2312"/>
          <w:b w:val="0"/>
          <w:bCs w:val="0"/>
          <w:color w:val="auto"/>
          <w:sz w:val="32"/>
          <w:szCs w:val="32"/>
          <w:u w:val="none"/>
          <w:lang w:val="en-US" w:eastAsia="zh-CN"/>
        </w:rPr>
      </w:pPr>
      <w:r>
        <w:rPr>
          <w:rFonts w:hint="eastAsia" w:ascii="仿宋_GB2312" w:hAnsi="Times New Roman" w:eastAsia="仿宋_GB2312" w:cs="仿宋_GB2312"/>
          <w:b w:val="0"/>
          <w:bCs w:val="0"/>
          <w:color w:val="auto"/>
          <w:sz w:val="32"/>
          <w:szCs w:val="32"/>
          <w:u w:val="none"/>
          <w:lang w:val="en-US" w:eastAsia="zh-CN"/>
        </w:rPr>
        <w:t>（四）列入公共卫生防疫用药品申请GMP符合性检查，可依据企业申请，在品种工艺验证期间视情进行分阶段检查；</w:t>
      </w:r>
    </w:p>
    <w:p>
      <w:pPr>
        <w:widowControl/>
        <w:adjustRightInd w:val="0"/>
        <w:snapToGrid w:val="0"/>
        <w:spacing w:line="590" w:lineRule="exact"/>
        <w:ind w:firstLine="640" w:firstLineChars="200"/>
        <w:rPr>
          <w:rFonts w:ascii="仿宋_GB2312" w:hAnsi="Times New Roman" w:eastAsia="仿宋_GB2312" w:cs="仿宋_GB2312"/>
          <w:color w:val="auto"/>
          <w:sz w:val="32"/>
          <w:szCs w:val="32"/>
          <w:u w:val="none"/>
        </w:rPr>
      </w:pPr>
      <w:r>
        <w:rPr>
          <w:rFonts w:hint="eastAsia" w:ascii="仿宋_GB2312" w:hAnsi="Times New Roman" w:eastAsia="仿宋_GB2312" w:cs="仿宋_GB2312"/>
          <w:color w:val="auto"/>
          <w:kern w:val="2"/>
          <w:sz w:val="32"/>
          <w:szCs w:val="32"/>
          <w:u w:val="none"/>
          <w:lang w:val="en-US" w:eastAsia="zh-CN"/>
        </w:rPr>
        <w:t>（五）</w:t>
      </w:r>
      <w:r>
        <w:rPr>
          <w:rFonts w:hint="eastAsia" w:ascii="仿宋_GB2312" w:hAnsi="Times New Roman" w:eastAsia="仿宋_GB2312" w:cs="仿宋_GB2312"/>
          <w:color w:val="auto"/>
          <w:sz w:val="32"/>
          <w:szCs w:val="32"/>
          <w:u w:val="none"/>
        </w:rPr>
        <w:t>其他可优先安排</w:t>
      </w:r>
      <w:r>
        <w:rPr>
          <w:rFonts w:hint="eastAsia" w:ascii="仿宋_GB2312" w:hAnsi="Times New Roman" w:eastAsia="仿宋_GB2312" w:cs="仿宋_GB2312"/>
          <w:color w:val="auto"/>
          <w:sz w:val="32"/>
          <w:szCs w:val="32"/>
          <w:u w:val="none"/>
          <w:lang w:eastAsia="zh-CN"/>
        </w:rPr>
        <w:t>检查</w:t>
      </w:r>
      <w:r>
        <w:rPr>
          <w:rFonts w:hint="eastAsia" w:ascii="仿宋_GB2312" w:hAnsi="Times New Roman" w:eastAsia="仿宋_GB2312" w:cs="仿宋_GB2312"/>
          <w:color w:val="auto"/>
          <w:sz w:val="32"/>
          <w:szCs w:val="32"/>
          <w:u w:val="none"/>
        </w:rPr>
        <w:t>的</w:t>
      </w:r>
      <w:r>
        <w:rPr>
          <w:rFonts w:hint="eastAsia" w:ascii="仿宋_GB2312" w:hAnsi="Times New Roman" w:eastAsia="仿宋_GB2312" w:cs="仿宋_GB2312"/>
          <w:color w:val="auto"/>
          <w:sz w:val="32"/>
          <w:szCs w:val="32"/>
          <w:u w:val="none"/>
          <w:lang w:eastAsia="zh-CN"/>
        </w:rPr>
        <w:t>情形</w:t>
      </w:r>
      <w:r>
        <w:rPr>
          <w:rFonts w:hint="eastAsia" w:ascii="仿宋_GB2312" w:hAnsi="Times New Roman" w:eastAsia="仿宋_GB2312" w:cs="仿宋_GB2312"/>
          <w:color w:val="auto"/>
          <w:sz w:val="32"/>
          <w:szCs w:val="32"/>
          <w:u w:val="none"/>
        </w:rPr>
        <w:t>。</w:t>
      </w:r>
      <w:r>
        <w:rPr>
          <w:rStyle w:val="14"/>
          <w:color w:val="auto"/>
          <w:u w:val="none"/>
        </w:rPr>
        <w:commentReference w:id="0"/>
      </w:r>
    </w:p>
    <w:p>
      <w:pPr>
        <w:numPr>
          <w:ilvl w:val="0"/>
          <w:numId w:val="0"/>
        </w:numPr>
        <w:shd w:val="clear" w:fill="FFFFFF" w:themeFill="background1"/>
        <w:adjustRightInd w:val="0"/>
        <w:snapToGrid w:val="0"/>
        <w:spacing w:line="590" w:lineRule="exact"/>
        <w:ind w:firstLine="640" w:firstLineChars="200"/>
        <w:rPr>
          <w:rFonts w:hint="eastAsia" w:ascii="仿宋_GB2312" w:hAnsi="Times New Roman" w:eastAsia="仿宋_GB2312" w:cs="仿宋_GB2312"/>
          <w:b w:val="0"/>
          <w:bCs w:val="0"/>
          <w:color w:val="auto"/>
          <w:sz w:val="32"/>
          <w:szCs w:val="32"/>
          <w:u w:val="none"/>
          <w:shd w:val="clear" w:color="auto" w:fill="auto"/>
          <w:lang w:val="en-US" w:eastAsia="zh-CN"/>
        </w:rPr>
      </w:pPr>
      <w:r>
        <w:rPr>
          <w:rFonts w:hint="eastAsia" w:ascii="仿宋_GB2312" w:hAnsi="仿宋_GB2312" w:eastAsia="仿宋_GB2312" w:cs="仿宋_GB2312"/>
          <w:b/>
          <w:bCs/>
          <w:color w:val="auto"/>
          <w:sz w:val="32"/>
          <w:szCs w:val="32"/>
          <w:u w:val="none"/>
          <w:lang w:val="en-US" w:eastAsia="zh-CN"/>
        </w:rPr>
        <w:t>第三十条（原料药出口检查优化）</w:t>
      </w:r>
      <w:r>
        <w:rPr>
          <w:rFonts w:hint="eastAsia" w:ascii="仿宋_GB2312" w:hAnsi="Times New Roman" w:eastAsia="仿宋_GB2312" w:cs="仿宋_GB2312"/>
          <w:color w:val="auto"/>
          <w:sz w:val="32"/>
          <w:szCs w:val="32"/>
          <w:u w:val="none"/>
          <w:shd w:val="clear" w:color="auto" w:fill="auto"/>
        </w:rPr>
        <w:t>未取得药品批准文号、关联审评登记未取得“A”状态、未通过GMP符合性检查</w:t>
      </w:r>
      <w:r>
        <w:rPr>
          <w:rFonts w:hint="eastAsia" w:ascii="仿宋_GB2312" w:hAnsi="Times New Roman" w:eastAsia="仿宋_GB2312" w:cs="仿宋_GB2312"/>
          <w:color w:val="auto"/>
          <w:sz w:val="32"/>
          <w:szCs w:val="32"/>
          <w:u w:val="none"/>
          <w:shd w:val="clear" w:color="auto" w:fill="auto"/>
          <w:lang w:eastAsia="zh-CN"/>
        </w:rPr>
        <w:t>原料药品种申请</w:t>
      </w:r>
      <w:r>
        <w:rPr>
          <w:rFonts w:hint="eastAsia" w:ascii="仿宋_GB2312" w:hAnsi="Times New Roman" w:eastAsia="仿宋_GB2312" w:cs="仿宋_GB2312"/>
          <w:b w:val="0"/>
          <w:bCs w:val="0"/>
          <w:color w:val="auto"/>
          <w:sz w:val="32"/>
          <w:szCs w:val="32"/>
          <w:u w:val="none"/>
          <w:shd w:val="clear" w:color="auto" w:fill="auto"/>
          <w:lang w:val="en-US" w:eastAsia="zh-CN"/>
        </w:rPr>
        <w:t>出口欧盟原料药证明文件</w:t>
      </w:r>
      <w:r>
        <w:rPr>
          <w:rFonts w:hint="eastAsia" w:ascii="仿宋_GB2312" w:hAnsi="Times New Roman" w:eastAsia="仿宋_GB2312" w:cs="仿宋_GB2312"/>
          <w:color w:val="auto"/>
          <w:sz w:val="32"/>
          <w:szCs w:val="32"/>
          <w:u w:val="none"/>
          <w:shd w:val="clear" w:color="auto" w:fill="auto"/>
          <w:lang w:eastAsia="zh-CN"/>
        </w:rPr>
        <w:t>（以下简称</w:t>
      </w:r>
      <w:r>
        <w:rPr>
          <w:rFonts w:hint="eastAsia" w:ascii="仿宋_GB2312" w:hAnsi="Times New Roman" w:eastAsia="仿宋_GB2312" w:cs="仿宋_GB2312"/>
          <w:b w:val="0"/>
          <w:bCs w:val="0"/>
          <w:color w:val="auto"/>
          <w:sz w:val="32"/>
          <w:szCs w:val="32"/>
          <w:u w:val="none"/>
          <w:shd w:val="clear" w:color="auto" w:fill="auto"/>
        </w:rPr>
        <w:t>第二种品种出口</w:t>
      </w:r>
      <w:r>
        <w:rPr>
          <w:rFonts w:hint="eastAsia" w:ascii="仿宋_GB2312" w:hAnsi="Times New Roman" w:eastAsia="仿宋_GB2312" w:cs="仿宋_GB2312"/>
          <w:b w:val="0"/>
          <w:bCs w:val="0"/>
          <w:color w:val="auto"/>
          <w:sz w:val="32"/>
          <w:szCs w:val="32"/>
          <w:u w:val="none"/>
          <w:shd w:val="clear" w:color="auto" w:fill="auto"/>
          <w:lang w:val="en-US" w:eastAsia="zh-CN"/>
        </w:rPr>
        <w:t>欧盟</w:t>
      </w:r>
      <w:r>
        <w:rPr>
          <w:rFonts w:hint="eastAsia" w:ascii="仿宋_GB2312" w:hAnsi="Times New Roman" w:eastAsia="仿宋_GB2312" w:cs="仿宋_GB2312"/>
          <w:color w:val="auto"/>
          <w:sz w:val="32"/>
          <w:szCs w:val="32"/>
          <w:u w:val="none"/>
          <w:shd w:val="clear" w:color="auto" w:fill="auto"/>
          <w:lang w:eastAsia="zh-CN"/>
        </w:rPr>
        <w:t>）</w:t>
      </w:r>
      <w:r>
        <w:rPr>
          <w:rFonts w:hint="eastAsia" w:ascii="仿宋_GB2312" w:hAnsi="Times New Roman" w:eastAsia="仿宋_GB2312" w:cs="仿宋_GB2312"/>
          <w:b w:val="0"/>
          <w:bCs w:val="0"/>
          <w:color w:val="auto"/>
          <w:sz w:val="32"/>
          <w:szCs w:val="32"/>
          <w:u w:val="none"/>
          <w:shd w:val="clear" w:color="auto" w:fill="auto"/>
          <w:lang w:val="en-US" w:eastAsia="zh-CN"/>
        </w:rPr>
        <w:t>，符合以下情形之一的，</w:t>
      </w:r>
      <w:r>
        <w:rPr>
          <w:rFonts w:hint="eastAsia" w:ascii="仿宋_GB2312" w:hAnsi="Times New Roman" w:eastAsia="仿宋_GB2312" w:cs="仿宋_GB2312"/>
          <w:color w:val="auto"/>
          <w:sz w:val="32"/>
          <w:szCs w:val="32"/>
          <w:u w:val="none"/>
        </w:rPr>
        <w:t>企业提供证明性文件</w:t>
      </w:r>
      <w:r>
        <w:rPr>
          <w:rFonts w:hint="eastAsia" w:ascii="仿宋_GB2312" w:hAnsi="Times New Roman" w:eastAsia="仿宋_GB2312" w:cs="仿宋_GB2312"/>
          <w:color w:val="auto"/>
          <w:sz w:val="32"/>
          <w:szCs w:val="32"/>
          <w:u w:val="none"/>
          <w:lang w:eastAsia="zh-CN"/>
        </w:rPr>
        <w:t>并</w:t>
      </w:r>
      <w:r>
        <w:rPr>
          <w:rFonts w:hint="eastAsia" w:ascii="仿宋_GB2312" w:hAnsi="Times New Roman" w:eastAsia="仿宋_GB2312" w:cs="仿宋_GB2312"/>
          <w:b w:val="0"/>
          <w:bCs w:val="0"/>
          <w:color w:val="auto"/>
          <w:sz w:val="32"/>
          <w:szCs w:val="32"/>
          <w:u w:val="none"/>
          <w:lang w:val="en-US" w:eastAsia="zh-CN"/>
        </w:rPr>
        <w:t>经研判后</w:t>
      </w:r>
      <w:r>
        <w:rPr>
          <w:rFonts w:hint="eastAsia" w:ascii="仿宋_GB2312" w:hAnsi="Times New Roman" w:eastAsia="仿宋_GB2312" w:cs="仿宋_GB2312"/>
          <w:color w:val="auto"/>
          <w:sz w:val="32"/>
          <w:szCs w:val="32"/>
          <w:u w:val="none"/>
          <w:shd w:val="clear" w:color="auto" w:fill="auto"/>
          <w:lang w:eastAsia="zh-CN"/>
        </w:rPr>
        <w:t>依申请的</w:t>
      </w:r>
      <w:r>
        <w:rPr>
          <w:rFonts w:hint="eastAsia" w:ascii="仿宋_GB2312" w:hAnsi="Times New Roman" w:eastAsia="仿宋_GB2312" w:cs="仿宋_GB2312"/>
          <w:color w:val="auto"/>
          <w:sz w:val="32"/>
          <w:szCs w:val="32"/>
          <w:u w:val="none"/>
          <w:shd w:val="clear" w:color="auto" w:fill="auto"/>
          <w:lang w:val="en-US" w:eastAsia="zh-CN"/>
        </w:rPr>
        <w:t>GMP符合性现场检查</w:t>
      </w:r>
      <w:r>
        <w:rPr>
          <w:rFonts w:hint="eastAsia" w:ascii="仿宋_GB2312" w:hAnsi="Times New Roman" w:eastAsia="仿宋_GB2312" w:cs="仿宋_GB2312"/>
          <w:b w:val="0"/>
          <w:bCs w:val="0"/>
          <w:color w:val="auto"/>
          <w:sz w:val="32"/>
          <w:szCs w:val="32"/>
          <w:u w:val="none"/>
          <w:shd w:val="clear" w:color="auto" w:fill="auto"/>
          <w:lang w:val="en-US" w:eastAsia="zh-CN"/>
        </w:rPr>
        <w:t>可</w:t>
      </w:r>
      <w:r>
        <w:rPr>
          <w:rFonts w:hint="eastAsia" w:ascii="仿宋_GB2312" w:hAnsi="Times New Roman" w:eastAsia="仿宋_GB2312" w:cs="仿宋_GB2312"/>
          <w:b w:val="0"/>
          <w:bCs w:val="0"/>
          <w:color w:val="auto"/>
          <w:sz w:val="32"/>
          <w:szCs w:val="32"/>
          <w:u w:val="none"/>
          <w:shd w:val="clear" w:color="auto" w:fill="auto"/>
        </w:rPr>
        <w:t>豁免</w:t>
      </w:r>
      <w:r>
        <w:rPr>
          <w:rFonts w:hint="eastAsia" w:ascii="仿宋_GB2312" w:hAnsi="Times New Roman" w:eastAsia="仿宋_GB2312" w:cs="仿宋_GB2312"/>
          <w:b w:val="0"/>
          <w:bCs w:val="0"/>
          <w:color w:val="auto"/>
          <w:sz w:val="32"/>
          <w:szCs w:val="32"/>
          <w:u w:val="none"/>
          <w:shd w:val="clear" w:color="auto" w:fill="auto"/>
          <w:lang w:eastAsia="zh-CN"/>
        </w:rPr>
        <w:t>或</w:t>
      </w:r>
      <w:r>
        <w:rPr>
          <w:rFonts w:hint="eastAsia" w:ascii="仿宋_GB2312" w:hAnsi="Times New Roman" w:eastAsia="仿宋_GB2312" w:cs="仿宋_GB2312"/>
          <w:b w:val="0"/>
          <w:bCs w:val="0"/>
          <w:color w:val="auto"/>
          <w:sz w:val="32"/>
          <w:szCs w:val="32"/>
          <w:u w:val="none"/>
          <w:shd w:val="clear" w:color="auto" w:fill="auto"/>
          <w:lang w:val="en-US" w:eastAsia="zh-CN"/>
        </w:rPr>
        <w:t>优化。</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themeFill="background1"/>
        <w:adjustRightInd w:val="0"/>
        <w:snapToGrid w:val="0"/>
        <w:spacing w:before="0" w:beforeAutospacing="0" w:after="0" w:afterAutospacing="0" w:line="590" w:lineRule="exact"/>
        <w:ind w:left="0" w:right="0" w:firstLine="640" w:firstLineChars="200"/>
        <w:rPr>
          <w:rFonts w:hint="eastAsia" w:ascii="仿宋_GB2312" w:hAnsi="Times New Roman" w:eastAsia="仿宋_GB2312" w:cs="仿宋_GB2312"/>
          <w:b w:val="0"/>
          <w:bCs w:val="0"/>
          <w:color w:val="auto"/>
          <w:sz w:val="32"/>
          <w:szCs w:val="32"/>
          <w:u w:val="none"/>
          <w:shd w:val="clear" w:color="auto" w:fill="auto"/>
        </w:rPr>
      </w:pPr>
      <w:r>
        <w:rPr>
          <w:rFonts w:hint="eastAsia" w:ascii="仿宋_GB2312" w:hAnsi="Times New Roman" w:eastAsia="仿宋_GB2312" w:cs="仿宋_GB2312"/>
          <w:b w:val="0"/>
          <w:bCs w:val="0"/>
          <w:color w:val="auto"/>
          <w:sz w:val="32"/>
          <w:szCs w:val="32"/>
          <w:u w:val="none"/>
          <w:shd w:val="clear" w:color="auto" w:fill="auto"/>
          <w:lang w:eastAsia="zh-CN"/>
        </w:rPr>
        <w:t>（一）</w:t>
      </w:r>
      <w:r>
        <w:rPr>
          <w:rFonts w:hint="eastAsia" w:ascii="仿宋_GB2312" w:hAnsi="Times New Roman" w:eastAsia="仿宋_GB2312" w:cs="仿宋_GB2312"/>
          <w:b w:val="0"/>
          <w:bCs w:val="0"/>
          <w:color w:val="auto"/>
          <w:sz w:val="32"/>
          <w:szCs w:val="32"/>
          <w:u w:val="none"/>
          <w:shd w:val="clear" w:color="auto" w:fill="auto"/>
        </w:rPr>
        <w:t>首次申请第二种品种出口</w:t>
      </w:r>
      <w:r>
        <w:rPr>
          <w:rFonts w:hint="eastAsia" w:ascii="仿宋_GB2312" w:hAnsi="Times New Roman" w:eastAsia="仿宋_GB2312" w:cs="仿宋_GB2312"/>
          <w:b w:val="0"/>
          <w:bCs w:val="0"/>
          <w:color w:val="auto"/>
          <w:sz w:val="32"/>
          <w:szCs w:val="32"/>
          <w:u w:val="none"/>
          <w:shd w:val="clear" w:color="auto" w:fill="auto"/>
          <w:lang w:val="en-US" w:eastAsia="zh-CN"/>
        </w:rPr>
        <w:t>欧盟</w:t>
      </w:r>
      <w:r>
        <w:rPr>
          <w:rFonts w:hint="eastAsia" w:ascii="仿宋_GB2312" w:hAnsi="Times New Roman" w:eastAsia="仿宋_GB2312" w:cs="仿宋_GB2312"/>
          <w:b w:val="0"/>
          <w:bCs w:val="0"/>
          <w:color w:val="auto"/>
          <w:sz w:val="32"/>
          <w:szCs w:val="32"/>
          <w:u w:val="none"/>
          <w:shd w:val="clear" w:color="auto" w:fill="auto"/>
          <w:lang w:eastAsia="zh-CN"/>
        </w:rPr>
        <w:t>，申请人能提供</w:t>
      </w:r>
      <w:r>
        <w:rPr>
          <w:rFonts w:hint="eastAsia" w:ascii="仿宋_GB2312" w:hAnsi="Times New Roman" w:eastAsia="仿宋_GB2312" w:cs="仿宋_GB2312"/>
          <w:b w:val="0"/>
          <w:bCs w:val="0"/>
          <w:color w:val="auto"/>
          <w:sz w:val="32"/>
          <w:szCs w:val="32"/>
          <w:u w:val="none"/>
          <w:shd w:val="clear" w:color="auto" w:fill="auto"/>
        </w:rPr>
        <w:t>2年内通过欧盟（含其成员国）、</w:t>
      </w:r>
      <w:r>
        <w:rPr>
          <w:rFonts w:hint="eastAsia" w:ascii="仿宋_GB2312" w:hAnsi="Times New Roman" w:eastAsia="仿宋_GB2312" w:cs="仿宋_GB2312"/>
          <w:b w:val="0"/>
          <w:bCs w:val="0"/>
          <w:color w:val="auto"/>
          <w:sz w:val="32"/>
          <w:szCs w:val="32"/>
          <w:u w:val="none"/>
          <w:shd w:val="clear" w:color="auto" w:fill="auto"/>
          <w:lang w:eastAsia="zh-CN"/>
        </w:rPr>
        <w:t>美国</w:t>
      </w:r>
      <w:r>
        <w:rPr>
          <w:rFonts w:hint="eastAsia" w:ascii="仿宋_GB2312" w:hAnsi="Times New Roman" w:eastAsia="仿宋_GB2312" w:cs="仿宋_GB2312"/>
          <w:b w:val="0"/>
          <w:bCs w:val="0"/>
          <w:color w:val="auto"/>
          <w:sz w:val="32"/>
          <w:szCs w:val="32"/>
          <w:u w:val="none"/>
          <w:shd w:val="clear" w:color="auto" w:fill="auto"/>
        </w:rPr>
        <w:t>FDA、日本PDMA</w:t>
      </w:r>
      <w:r>
        <w:rPr>
          <w:rFonts w:hint="eastAsia" w:ascii="仿宋_GB2312" w:hAnsi="Times New Roman" w:eastAsia="仿宋_GB2312" w:cs="仿宋_GB2312"/>
          <w:b w:val="0"/>
          <w:bCs w:val="0"/>
          <w:color w:val="auto"/>
          <w:sz w:val="32"/>
          <w:szCs w:val="32"/>
          <w:u w:val="none"/>
          <w:shd w:val="clear" w:color="auto" w:fill="auto"/>
          <w:lang w:eastAsia="zh-CN"/>
        </w:rPr>
        <w:t>或</w:t>
      </w:r>
      <w:r>
        <w:rPr>
          <w:rFonts w:hint="eastAsia" w:ascii="仿宋_GB2312" w:hAnsi="Times New Roman" w:eastAsia="仿宋_GB2312" w:cs="仿宋_GB2312"/>
          <w:b w:val="0"/>
          <w:bCs w:val="0"/>
          <w:color w:val="auto"/>
          <w:sz w:val="32"/>
          <w:szCs w:val="32"/>
          <w:u w:val="none"/>
          <w:shd w:val="clear" w:color="auto" w:fill="auto"/>
        </w:rPr>
        <w:t>WHO等认证或检查</w:t>
      </w:r>
      <w:r>
        <w:rPr>
          <w:rFonts w:hint="eastAsia" w:ascii="仿宋_GB2312" w:hAnsi="Times New Roman" w:eastAsia="仿宋_GB2312" w:cs="仿宋_GB2312"/>
          <w:b w:val="0"/>
          <w:bCs w:val="0"/>
          <w:color w:val="auto"/>
          <w:sz w:val="32"/>
          <w:szCs w:val="32"/>
          <w:u w:val="none"/>
          <w:shd w:val="clear" w:color="auto" w:fill="auto"/>
          <w:lang w:eastAsia="zh-CN"/>
        </w:rPr>
        <w:t>证明文件</w:t>
      </w:r>
      <w:r>
        <w:rPr>
          <w:rFonts w:hint="eastAsia" w:ascii="仿宋_GB2312" w:hAnsi="Times New Roman" w:eastAsia="仿宋_GB2312" w:cs="仿宋_GB2312"/>
          <w:b w:val="0"/>
          <w:bCs w:val="0"/>
          <w:color w:val="auto"/>
          <w:sz w:val="32"/>
          <w:szCs w:val="32"/>
          <w:u w:val="none"/>
          <w:shd w:val="clear" w:color="auto" w:fill="auto"/>
        </w:rPr>
        <w:t>的，</w:t>
      </w:r>
      <w:r>
        <w:rPr>
          <w:rFonts w:hint="eastAsia" w:ascii="仿宋_GB2312" w:hAnsi="Times New Roman" w:eastAsia="仿宋_GB2312" w:cs="仿宋_GB2312"/>
          <w:b w:val="0"/>
          <w:bCs w:val="0"/>
          <w:color w:val="auto"/>
          <w:sz w:val="32"/>
          <w:szCs w:val="32"/>
          <w:u w:val="none"/>
          <w:shd w:val="clear" w:color="auto" w:fill="auto"/>
          <w:lang w:eastAsia="zh-CN"/>
        </w:rPr>
        <w:t>原则上可</w:t>
      </w:r>
      <w:r>
        <w:rPr>
          <w:rFonts w:hint="eastAsia" w:ascii="仿宋_GB2312" w:hAnsi="Times New Roman" w:eastAsia="仿宋_GB2312" w:cs="仿宋_GB2312"/>
          <w:b w:val="0"/>
          <w:bCs w:val="0"/>
          <w:color w:val="auto"/>
          <w:sz w:val="32"/>
          <w:szCs w:val="32"/>
          <w:u w:val="none"/>
          <w:shd w:val="clear" w:color="auto" w:fill="auto"/>
        </w:rPr>
        <w:t>豁免现场检查</w:t>
      </w:r>
      <w:r>
        <w:rPr>
          <w:rFonts w:hint="eastAsia" w:ascii="仿宋_GB2312" w:hAnsi="Times New Roman" w:eastAsia="仿宋_GB2312" w:cs="仿宋_GB2312"/>
          <w:b w:val="0"/>
          <w:bCs w:val="0"/>
          <w:color w:val="auto"/>
          <w:sz w:val="32"/>
          <w:szCs w:val="32"/>
          <w:u w:val="none"/>
          <w:shd w:val="clear" w:color="auto" w:fill="auto"/>
          <w:lang w:eastAsia="zh-CN"/>
        </w:rPr>
        <w:t>；</w:t>
      </w:r>
    </w:p>
    <w:p>
      <w:pPr>
        <w:numPr>
          <w:ilvl w:val="0"/>
          <w:numId w:val="0"/>
        </w:numPr>
        <w:shd w:val="clear" w:fill="FFFFFF" w:themeFill="background1"/>
        <w:adjustRightInd w:val="0"/>
        <w:snapToGrid w:val="0"/>
        <w:spacing w:line="590" w:lineRule="exact"/>
        <w:ind w:firstLine="640" w:firstLineChars="200"/>
        <w:rPr>
          <w:rFonts w:hint="eastAsia" w:ascii="仿宋_GB2312" w:hAnsi="Times New Roman" w:eastAsia="仿宋_GB2312" w:cs="仿宋_GB2312"/>
          <w:b w:val="0"/>
          <w:bCs w:val="0"/>
          <w:color w:val="auto"/>
          <w:sz w:val="32"/>
          <w:szCs w:val="32"/>
          <w:u w:val="none"/>
          <w:shd w:val="clear" w:color="auto" w:fill="auto"/>
          <w:lang w:val="en-US" w:eastAsia="zh-CN"/>
        </w:rPr>
      </w:pPr>
      <w:r>
        <w:rPr>
          <w:rFonts w:hint="eastAsia" w:ascii="仿宋_GB2312" w:hAnsi="Times New Roman" w:eastAsia="仿宋_GB2312" w:cs="仿宋_GB2312"/>
          <w:b w:val="0"/>
          <w:bCs w:val="0"/>
          <w:color w:val="auto"/>
          <w:sz w:val="32"/>
          <w:szCs w:val="32"/>
          <w:u w:val="none"/>
          <w:shd w:val="clear" w:color="auto" w:fill="auto"/>
          <w:lang w:val="en-US" w:eastAsia="zh-CN"/>
        </w:rPr>
        <w:t>（二）第二种品种</w:t>
      </w:r>
      <w:r>
        <w:rPr>
          <w:rFonts w:hint="eastAsia" w:ascii="仿宋_GB2312" w:hAnsi="Times New Roman" w:eastAsia="仿宋_GB2312" w:cs="仿宋_GB2312"/>
          <w:b w:val="0"/>
          <w:bCs w:val="0"/>
          <w:color w:val="auto"/>
          <w:sz w:val="32"/>
          <w:szCs w:val="32"/>
          <w:u w:val="none"/>
          <w:shd w:val="clear" w:color="auto" w:fill="auto"/>
        </w:rPr>
        <w:t>出口</w:t>
      </w:r>
      <w:r>
        <w:rPr>
          <w:rFonts w:hint="eastAsia" w:ascii="仿宋_GB2312" w:hAnsi="Times New Roman" w:eastAsia="仿宋_GB2312" w:cs="仿宋_GB2312"/>
          <w:b w:val="0"/>
          <w:bCs w:val="0"/>
          <w:color w:val="auto"/>
          <w:sz w:val="32"/>
          <w:szCs w:val="32"/>
          <w:u w:val="none"/>
          <w:shd w:val="clear" w:color="auto" w:fill="auto"/>
          <w:lang w:val="en-US" w:eastAsia="zh-CN"/>
        </w:rPr>
        <w:t>证明性文件到期申请延续的，根据日常监管检查情况进行审核，</w:t>
      </w:r>
      <w:r>
        <w:rPr>
          <w:rFonts w:hint="eastAsia" w:ascii="仿宋_GB2312" w:hAnsi="Times New Roman" w:eastAsia="仿宋_GB2312" w:cs="仿宋_GB2312"/>
          <w:b w:val="0"/>
          <w:bCs w:val="0"/>
          <w:color w:val="auto"/>
          <w:sz w:val="32"/>
          <w:szCs w:val="32"/>
          <w:u w:val="none"/>
          <w:shd w:val="clear" w:color="auto" w:fill="auto"/>
          <w:lang w:eastAsia="zh-CN"/>
        </w:rPr>
        <w:t>原则上可</w:t>
      </w:r>
      <w:r>
        <w:rPr>
          <w:rFonts w:hint="eastAsia" w:ascii="仿宋_GB2312" w:hAnsi="Times New Roman" w:eastAsia="仿宋_GB2312" w:cs="仿宋_GB2312"/>
          <w:b w:val="0"/>
          <w:bCs w:val="0"/>
          <w:color w:val="auto"/>
          <w:sz w:val="32"/>
          <w:szCs w:val="32"/>
          <w:u w:val="none"/>
          <w:shd w:val="clear" w:color="auto" w:fill="auto"/>
        </w:rPr>
        <w:t>豁免现场检查</w:t>
      </w:r>
      <w:r>
        <w:rPr>
          <w:rFonts w:hint="eastAsia" w:ascii="仿宋_GB2312" w:hAnsi="Times New Roman" w:eastAsia="仿宋_GB2312" w:cs="仿宋_GB2312"/>
          <w:b w:val="0"/>
          <w:bCs w:val="0"/>
          <w:color w:val="auto"/>
          <w:sz w:val="32"/>
          <w:szCs w:val="32"/>
          <w:u w:val="none"/>
          <w:shd w:val="clear" w:color="auto" w:fill="auto"/>
          <w:lang w:val="en-US" w:eastAsia="zh-CN"/>
        </w:rPr>
        <w:t>；</w:t>
      </w:r>
    </w:p>
    <w:p>
      <w:pPr>
        <w:numPr>
          <w:ilvl w:val="0"/>
          <w:numId w:val="0"/>
        </w:numPr>
        <w:shd w:val="clear" w:fill="FFFFFF" w:themeFill="background1"/>
        <w:adjustRightInd w:val="0"/>
        <w:snapToGrid w:val="0"/>
        <w:spacing w:line="590" w:lineRule="exact"/>
        <w:ind w:firstLine="640" w:firstLineChars="200"/>
        <w:rPr>
          <w:rFonts w:hint="eastAsia" w:ascii="仿宋_GB2312" w:hAnsi="Times New Roman" w:eastAsia="仿宋_GB2312" w:cs="仿宋_GB2312"/>
          <w:b w:val="0"/>
          <w:bCs w:val="0"/>
          <w:color w:val="auto"/>
          <w:sz w:val="32"/>
          <w:szCs w:val="32"/>
          <w:u w:val="none"/>
          <w:shd w:val="clear" w:color="auto" w:fill="auto"/>
          <w:lang w:val="en-US" w:eastAsia="zh-CN"/>
        </w:rPr>
      </w:pPr>
      <w:r>
        <w:rPr>
          <w:rFonts w:hint="eastAsia" w:ascii="仿宋_GB2312" w:hAnsi="Times New Roman" w:eastAsia="仿宋_GB2312" w:cs="仿宋_GB2312"/>
          <w:b w:val="0"/>
          <w:bCs w:val="0"/>
          <w:color w:val="auto"/>
          <w:sz w:val="32"/>
          <w:szCs w:val="32"/>
          <w:u w:val="none"/>
          <w:shd w:val="clear" w:color="auto" w:fill="auto"/>
          <w:lang w:val="en-US" w:eastAsia="zh-CN"/>
        </w:rPr>
        <w:t>（三）同一生产线、工艺路线相近的多个第二种品种申请出口欧盟的，原则上应当合并检查且检查时仅需要部分典型品种进行动态生产；</w:t>
      </w:r>
    </w:p>
    <w:p>
      <w:pPr>
        <w:numPr>
          <w:ilvl w:val="0"/>
          <w:numId w:val="0"/>
        </w:numPr>
        <w:shd w:val="clear" w:fill="FFFFFF" w:themeFill="background1"/>
        <w:adjustRightInd w:val="0"/>
        <w:snapToGrid w:val="0"/>
        <w:spacing w:line="590" w:lineRule="exact"/>
        <w:ind w:firstLine="640" w:firstLineChars="200"/>
        <w:rPr>
          <w:rFonts w:hint="default" w:ascii="仿宋_GB2312" w:hAnsi="仿宋_GB2312" w:eastAsia="仿宋_GB2312" w:cs="仿宋_GB2312"/>
          <w:b/>
          <w:bCs/>
          <w:color w:val="auto"/>
          <w:sz w:val="32"/>
          <w:szCs w:val="32"/>
          <w:u w:val="none"/>
          <w:lang w:val="en-US" w:eastAsia="zh-CN"/>
        </w:rPr>
      </w:pPr>
      <w:r>
        <w:rPr>
          <w:rFonts w:hint="eastAsia" w:ascii="仿宋_GB2312" w:hAnsi="Times New Roman" w:eastAsia="仿宋_GB2312" w:cs="仿宋_GB2312"/>
          <w:b w:val="0"/>
          <w:bCs w:val="0"/>
          <w:color w:val="auto"/>
          <w:sz w:val="32"/>
          <w:szCs w:val="32"/>
          <w:u w:val="none"/>
          <w:shd w:val="clear" w:color="auto" w:fill="auto"/>
          <w:lang w:val="en-US" w:eastAsia="zh-CN"/>
        </w:rPr>
        <w:t>（四）五年内已通过GMP符合性检查的原料药生产车间或生产线，新增第二种原料药品种需检查的。</w:t>
      </w:r>
    </w:p>
    <w:p>
      <w:pPr>
        <w:keepNext w:val="0"/>
        <w:keepLines w:val="0"/>
        <w:pageBreakBefore w:val="0"/>
        <w:numPr>
          <w:ilvl w:val="0"/>
          <w:numId w:val="0"/>
        </w:numPr>
        <w:shd w:val="clear" w:fill="FFFFFF" w:themeFill="background1"/>
        <w:kinsoku/>
        <w:overflowPunct/>
        <w:topLinePunct w:val="0"/>
        <w:autoSpaceDE/>
        <w:autoSpaceDN/>
        <w:bidi w:val="0"/>
        <w:adjustRightInd w:val="0"/>
        <w:snapToGrid w:val="0"/>
        <w:spacing w:line="590" w:lineRule="exact"/>
        <w:ind w:firstLine="640" w:firstLineChars="200"/>
        <w:jc w:val="both"/>
        <w:textAlignment w:val="auto"/>
        <w:rPr>
          <w:rFonts w:hint="eastAsia" w:ascii="仿宋_GB2312" w:hAnsi="Times New Roman" w:eastAsia="仿宋_GB2312" w:cs="仿宋_GB2312"/>
          <w:b w:val="0"/>
          <w:bCs w:val="0"/>
          <w:color w:val="auto"/>
          <w:sz w:val="32"/>
          <w:szCs w:val="32"/>
          <w:u w:val="none"/>
          <w:shd w:val="clear" w:color="auto" w:fill="auto"/>
          <w:lang w:val="en-US" w:eastAsia="zh-CN"/>
        </w:rPr>
      </w:pPr>
      <w:r>
        <w:rPr>
          <w:rFonts w:hint="eastAsia" w:ascii="仿宋_GB2312" w:hAnsi="Times New Roman" w:eastAsia="仿宋_GB2312" w:cs="仿宋_GB2312"/>
          <w:b/>
          <w:bCs/>
          <w:color w:val="auto"/>
          <w:sz w:val="32"/>
          <w:szCs w:val="32"/>
          <w:u w:val="none"/>
          <w:shd w:val="clear" w:color="auto" w:fill="auto"/>
          <w:lang w:val="en-US" w:eastAsia="zh-CN"/>
        </w:rPr>
        <w:t>第三十一条（鼓励采用新技术）</w:t>
      </w:r>
      <w:r>
        <w:rPr>
          <w:rFonts w:hint="eastAsia" w:ascii="仿宋_GB2312" w:hAnsi="Times New Roman" w:eastAsia="仿宋_GB2312" w:cs="仿宋_GB2312"/>
          <w:b w:val="0"/>
          <w:bCs w:val="0"/>
          <w:color w:val="auto"/>
          <w:sz w:val="32"/>
          <w:szCs w:val="32"/>
          <w:u w:val="none"/>
          <w:shd w:val="clear" w:color="auto" w:fill="auto"/>
          <w:lang w:val="en-US" w:eastAsia="zh-CN"/>
        </w:rPr>
        <w:t>持有人、生产企业实施药品生产质量管理规范时，鼓励采用新技术、新工艺、ICH等国际组织药品生产质量管理规范、管理原则提高药品质量保证水平。</w:t>
      </w:r>
    </w:p>
    <w:p>
      <w:pPr>
        <w:keepNext w:val="0"/>
        <w:keepLines w:val="0"/>
        <w:pageBreakBefore w:val="0"/>
        <w:numPr>
          <w:ilvl w:val="0"/>
          <w:numId w:val="0"/>
        </w:numPr>
        <w:shd w:val="clear" w:fill="FFFFFF" w:themeFill="background1"/>
        <w:kinsoku/>
        <w:overflowPunct/>
        <w:topLinePunct w:val="0"/>
        <w:autoSpaceDE/>
        <w:autoSpaceDN/>
        <w:bidi w:val="0"/>
        <w:adjustRightInd w:val="0"/>
        <w:snapToGrid w:val="0"/>
        <w:spacing w:line="590" w:lineRule="exact"/>
        <w:ind w:firstLine="640" w:firstLineChars="200"/>
        <w:jc w:val="both"/>
        <w:textAlignment w:val="auto"/>
        <w:rPr>
          <w:rFonts w:hint="eastAsia" w:ascii="仿宋_GB2312" w:hAnsi="Times New Roman" w:eastAsia="仿宋_GB2312" w:cs="仿宋_GB2312"/>
          <w:color w:val="auto"/>
          <w:sz w:val="32"/>
          <w:szCs w:val="32"/>
          <w:u w:val="none"/>
          <w:shd w:val="clear" w:color="auto" w:fill="auto"/>
          <w:lang w:val="en-US" w:eastAsia="zh-CN"/>
        </w:rPr>
      </w:pPr>
      <w:r>
        <w:rPr>
          <w:rFonts w:hint="eastAsia" w:ascii="仿宋_GB2312" w:hAnsi="Times New Roman" w:eastAsia="仿宋_GB2312" w:cs="仿宋_GB2312"/>
          <w:b/>
          <w:bCs/>
          <w:color w:val="auto"/>
          <w:sz w:val="32"/>
          <w:szCs w:val="32"/>
          <w:u w:val="none"/>
          <w:shd w:val="clear" w:color="auto" w:fill="auto"/>
          <w:lang w:val="en-US" w:eastAsia="zh-CN"/>
        </w:rPr>
        <w:t>第三十二条 （有条件的进货等检验数据共享 注：本条公开征求意见时同时向国家药监局请示）</w:t>
      </w:r>
      <w:r>
        <w:rPr>
          <w:rFonts w:hint="eastAsia" w:ascii="仿宋_GB2312" w:hAnsi="Times New Roman" w:eastAsia="仿宋_GB2312" w:cs="仿宋_GB2312"/>
          <w:color w:val="auto"/>
          <w:sz w:val="32"/>
          <w:szCs w:val="32"/>
          <w:u w:val="none"/>
          <w:shd w:val="clear" w:color="auto" w:fill="auto"/>
          <w:lang w:val="en-US" w:eastAsia="zh-CN"/>
        </w:rPr>
        <w:t>具备《药品生产监督管理办法》第六条、第七条规定检验条件和检验管理能力的持有人、生产企业，若以一方名义合法统一采购制剂生产用中药材、中药饮片、原辅料、包装材料（以下简称物料），应当共同对物料生产企业检验能力等开展质量管理体系审核，实施必要的验证和确认（包括但不限于境内、跨境长途运输路线验证等）。评估结果若能够满足制剂质量管理要求并签订检验数据共享质量管理协议后，可共享一方同一批次物料可共享检验项目的检验数据用于相关制剂生产的物料放行。</w:t>
      </w:r>
    </w:p>
    <w:p>
      <w:pPr>
        <w:keepNext w:val="0"/>
        <w:keepLines w:val="0"/>
        <w:pageBreakBefore w:val="0"/>
        <w:numPr>
          <w:ilvl w:val="0"/>
          <w:numId w:val="0"/>
        </w:numPr>
        <w:shd w:val="clear" w:fill="FFFFFF" w:themeFill="background1"/>
        <w:kinsoku/>
        <w:overflowPunct/>
        <w:topLinePunct w:val="0"/>
        <w:autoSpaceDE/>
        <w:autoSpaceDN/>
        <w:bidi w:val="0"/>
        <w:adjustRightInd w:val="0"/>
        <w:snapToGrid w:val="0"/>
        <w:spacing w:line="590" w:lineRule="exact"/>
        <w:ind w:firstLine="640" w:firstLineChars="200"/>
        <w:jc w:val="both"/>
        <w:textAlignment w:val="auto"/>
        <w:rPr>
          <w:rFonts w:hint="eastAsia" w:ascii="仿宋_GB2312" w:hAnsi="Times New Roman" w:eastAsia="仿宋_GB2312" w:cs="仿宋_GB2312"/>
          <w:color w:val="auto"/>
          <w:sz w:val="32"/>
          <w:szCs w:val="32"/>
          <w:u w:val="none"/>
          <w:shd w:val="clear" w:color="auto" w:fill="auto"/>
          <w:lang w:val="en-US" w:eastAsia="zh-CN"/>
        </w:rPr>
      </w:pPr>
      <w:r>
        <w:rPr>
          <w:rFonts w:hint="eastAsia" w:ascii="仿宋_GB2312" w:hAnsi="Times New Roman" w:eastAsia="仿宋_GB2312" w:cs="仿宋_GB2312"/>
          <w:color w:val="auto"/>
          <w:sz w:val="32"/>
          <w:szCs w:val="32"/>
          <w:u w:val="none"/>
          <w:shd w:val="clear" w:color="auto" w:fill="auto"/>
          <w:lang w:val="en-US" w:eastAsia="zh-CN"/>
        </w:rPr>
        <w:t>具备《药品生产监督管理办法》第六条、第七条规定检验条件和检验管理能力的持有人、受托分包装生产企业，共同对已完成内包装的制剂生产企业检验能力等开展质量管理体系审核，实施必要的验证和确认（包括但不限于境内、跨境长途运输路线验证、检验差异性评估等），评估结果若能够满足制剂质量管理要求并签订检验数据共享质量管理协议后，可共享制剂生产企业同一批次产品可共享检验项目的检验数据用于分包装生产的出厂检验。</w:t>
      </w:r>
    </w:p>
    <w:p>
      <w:pPr>
        <w:keepNext w:val="0"/>
        <w:keepLines w:val="0"/>
        <w:pageBreakBefore w:val="0"/>
        <w:numPr>
          <w:ilvl w:val="0"/>
          <w:numId w:val="0"/>
        </w:numPr>
        <w:shd w:val="clear" w:fill="FFFFFF" w:themeFill="background1"/>
        <w:kinsoku/>
        <w:overflowPunct/>
        <w:topLinePunct w:val="0"/>
        <w:autoSpaceDE/>
        <w:autoSpaceDN/>
        <w:bidi w:val="0"/>
        <w:adjustRightInd w:val="0"/>
        <w:snapToGrid w:val="0"/>
        <w:spacing w:line="590" w:lineRule="exact"/>
        <w:ind w:firstLine="640" w:firstLineChars="200"/>
        <w:jc w:val="both"/>
        <w:textAlignment w:val="auto"/>
        <w:rPr>
          <w:rFonts w:hint="eastAsia" w:ascii="仿宋_GB2312" w:hAnsi="Times New Roman" w:eastAsia="仿宋_GB2312" w:cs="仿宋_GB2312"/>
          <w:color w:val="auto"/>
          <w:sz w:val="32"/>
          <w:szCs w:val="32"/>
          <w:u w:val="none"/>
          <w:shd w:val="clear" w:color="auto" w:fill="auto"/>
          <w:lang w:val="en-US" w:eastAsia="zh-CN"/>
        </w:rPr>
      </w:pPr>
      <w:r>
        <w:rPr>
          <w:rFonts w:hint="eastAsia" w:ascii="仿宋_GB2312" w:hAnsi="Times New Roman" w:eastAsia="仿宋_GB2312" w:cs="仿宋_GB2312"/>
          <w:color w:val="auto"/>
          <w:sz w:val="32"/>
          <w:szCs w:val="32"/>
          <w:u w:val="none"/>
          <w:shd w:val="clear" w:color="auto" w:fill="auto"/>
          <w:lang w:val="en-US" w:eastAsia="zh-CN"/>
        </w:rPr>
        <w:t>实施数据共享前，应按《药品上市后变更管理办法（试行）》及相关指导原则要求，依法履行备案手续。实施数据共享期间，应按照批准的检验计划，定期对共享数据的物料、分包装产品按核准的标准进行自检，开展必要的前瞻性、回顾性质量分析，确保共享数据具有室间可比性。</w:t>
      </w:r>
    </w:p>
    <w:p>
      <w:pPr>
        <w:keepNext w:val="0"/>
        <w:keepLines w:val="0"/>
        <w:pageBreakBefore w:val="0"/>
        <w:numPr>
          <w:ilvl w:val="0"/>
          <w:numId w:val="0"/>
        </w:numPr>
        <w:shd w:val="clear" w:fill="FFFFFF" w:themeFill="background1"/>
        <w:kinsoku/>
        <w:overflowPunct/>
        <w:topLinePunct w:val="0"/>
        <w:autoSpaceDE/>
        <w:autoSpaceDN/>
        <w:bidi w:val="0"/>
        <w:adjustRightInd w:val="0"/>
        <w:snapToGrid w:val="0"/>
        <w:spacing w:line="590" w:lineRule="exact"/>
        <w:ind w:firstLine="640" w:firstLineChars="200"/>
        <w:jc w:val="both"/>
        <w:textAlignment w:val="auto"/>
        <w:rPr>
          <w:rFonts w:hint="eastAsia" w:ascii="仿宋_GB2312" w:hAnsi="Times New Roman" w:eastAsia="仿宋_GB2312" w:cs="仿宋_GB2312"/>
          <w:b/>
          <w:bCs/>
          <w:color w:val="auto"/>
          <w:sz w:val="32"/>
          <w:szCs w:val="32"/>
          <w:u w:val="none"/>
          <w:shd w:val="clear" w:color="auto" w:fill="auto"/>
          <w:lang w:val="en-US" w:eastAsia="zh-CN"/>
        </w:rPr>
      </w:pPr>
      <w:r>
        <w:rPr>
          <w:rFonts w:hint="eastAsia" w:ascii="仿宋_GB2312" w:hAnsi="Times New Roman" w:eastAsia="仿宋_GB2312" w:cs="仿宋_GB2312"/>
          <w:color w:val="auto"/>
          <w:sz w:val="32"/>
          <w:szCs w:val="32"/>
          <w:u w:val="none"/>
          <w:shd w:val="clear" w:color="auto" w:fill="auto"/>
          <w:lang w:val="en-US" w:eastAsia="zh-CN"/>
        </w:rPr>
        <w:t>疫苗、血液制品、放射性药品、医疗用毒性药品、无菌药品等高风险药品和执行批签发批检验的生物制品、进口药材、未完成内包装的分包装制剂等品种按原规定执行。</w:t>
      </w:r>
    </w:p>
    <w:p>
      <w:pPr>
        <w:spacing w:line="590" w:lineRule="exact"/>
        <w:ind w:firstLine="640" w:firstLineChars="200"/>
        <w:rPr>
          <w:rFonts w:hint="eastAsia" w:ascii="仿宋_GB2312" w:hAnsi="Times New Roman" w:eastAsia="仿宋_GB2312" w:cs="仿宋_GB2312"/>
          <w:color w:val="auto"/>
          <w:kern w:val="2"/>
          <w:sz w:val="32"/>
          <w:szCs w:val="32"/>
          <w:u w:val="none"/>
          <w:lang w:val="en-US" w:eastAsia="zh-CN"/>
        </w:rPr>
      </w:pPr>
      <w:r>
        <w:rPr>
          <w:rFonts w:hint="eastAsia" w:ascii="仿宋_GB2312" w:hAnsi="仿宋_GB2312" w:eastAsia="仿宋_GB2312" w:cs="仿宋_GB2312"/>
          <w:b/>
          <w:bCs/>
          <w:color w:val="auto"/>
          <w:sz w:val="32"/>
          <w:szCs w:val="32"/>
          <w:u w:val="none"/>
          <w:lang w:val="en-US" w:eastAsia="zh-CN"/>
        </w:rPr>
        <w:t>第三十二条 （沟通机制）</w:t>
      </w:r>
      <w:r>
        <w:rPr>
          <w:rFonts w:hint="eastAsia" w:ascii="仿宋_GB2312" w:hAnsi="Times New Roman" w:eastAsia="仿宋_GB2312" w:cs="仿宋_GB2312"/>
          <w:color w:val="auto"/>
          <w:kern w:val="2"/>
          <w:sz w:val="32"/>
          <w:szCs w:val="32"/>
          <w:u w:val="none"/>
          <w:lang w:val="en-US" w:eastAsia="zh-CN"/>
        </w:rPr>
        <w:t>药生处、核查中心、检查分局应当</w:t>
      </w:r>
      <w:r>
        <w:rPr>
          <w:rFonts w:hint="eastAsia" w:ascii="仿宋_GB2312" w:hAnsi="Times New Roman" w:eastAsia="仿宋_GB2312" w:cs="仿宋_GB2312"/>
          <w:color w:val="auto"/>
          <w:kern w:val="2"/>
          <w:sz w:val="32"/>
          <w:szCs w:val="32"/>
          <w:u w:val="none"/>
          <w:lang w:val="zh-CN" w:eastAsia="zh-CN"/>
        </w:rPr>
        <w:t>按照早期介入、及时辅导的原则</w:t>
      </w:r>
      <w:r>
        <w:rPr>
          <w:rFonts w:hint="eastAsia" w:ascii="仿宋_GB2312" w:hAnsi="Times New Roman" w:eastAsia="仿宋_GB2312" w:cs="仿宋_GB2312"/>
          <w:color w:val="auto"/>
          <w:kern w:val="2"/>
          <w:sz w:val="32"/>
          <w:szCs w:val="32"/>
          <w:u w:val="none"/>
          <w:lang w:val="en-US" w:eastAsia="zh-CN"/>
        </w:rPr>
        <w:t>建立GMP符合性检查沟通机制，为申请人/持有人、生产企业执行药品生产质量管理规范提供政策咨询和技术辅导。</w:t>
      </w:r>
    </w:p>
    <w:p>
      <w:pPr>
        <w:spacing w:line="590" w:lineRule="exact"/>
        <w:ind w:firstLine="640" w:firstLineChars="200"/>
        <w:rPr>
          <w:rFonts w:hint="eastAsia" w:ascii="仿宋_GB2312" w:hAnsi="Times New Roman" w:eastAsia="仿宋_GB2312" w:cs="仿宋_GB2312"/>
          <w:color w:val="auto"/>
          <w:kern w:val="2"/>
          <w:sz w:val="32"/>
          <w:szCs w:val="32"/>
          <w:u w:val="none"/>
          <w:lang w:val="en-US" w:eastAsia="zh-CN"/>
        </w:rPr>
      </w:pPr>
      <w:r>
        <w:rPr>
          <w:rFonts w:hint="eastAsia" w:ascii="仿宋_GB2312" w:hAnsi="Times New Roman" w:eastAsia="仿宋_GB2312" w:cs="仿宋_GB2312"/>
          <w:color w:val="auto"/>
          <w:kern w:val="2"/>
          <w:sz w:val="32"/>
          <w:szCs w:val="32"/>
          <w:u w:val="none"/>
          <w:lang w:val="en-US" w:eastAsia="zh-CN"/>
        </w:rPr>
        <w:t>必要时，沟通交流内容应当形成记录，作为后续GMP符合性检查的参考，具有普遍意义的典型问题及其解答，还应当在省局官方网站相关栏目公开。</w:t>
      </w:r>
    </w:p>
    <w:p>
      <w:pPr>
        <w:keepNext w:val="0"/>
        <w:keepLines w:val="0"/>
        <w:pageBreakBefore w:val="0"/>
        <w:numPr>
          <w:ilvl w:val="-1"/>
          <w:numId w:val="0"/>
        </w:numPr>
        <w:kinsoku/>
        <w:overflowPunct/>
        <w:topLinePunct w:val="0"/>
        <w:autoSpaceDE/>
        <w:autoSpaceDN/>
        <w:bidi w:val="0"/>
        <w:adjustRightInd w:val="0"/>
        <w:snapToGrid w:val="0"/>
        <w:spacing w:line="590" w:lineRule="exact"/>
        <w:ind w:firstLine="640" w:firstLineChars="200"/>
        <w:jc w:val="both"/>
        <w:textAlignment w:val="auto"/>
        <w:rPr>
          <w:rFonts w:hint="eastAsia" w:ascii="仿宋_GB2312" w:hAnsi="Times New Roman" w:eastAsia="仿宋_GB2312" w:cs="仿宋_GB2312"/>
          <w:color w:val="auto"/>
          <w:kern w:val="2"/>
          <w:sz w:val="32"/>
          <w:szCs w:val="32"/>
          <w:u w:val="none"/>
          <w:lang w:val="en-US" w:eastAsia="zh-CN"/>
        </w:rPr>
      </w:pPr>
      <w:r>
        <w:rPr>
          <w:rFonts w:hint="eastAsia" w:ascii="仿宋_GB2312" w:hAnsi="Times New Roman" w:eastAsia="仿宋_GB2312" w:cs="仿宋_GB2312"/>
          <w:color w:val="auto"/>
          <w:kern w:val="2"/>
          <w:sz w:val="32"/>
          <w:szCs w:val="32"/>
          <w:u w:val="none"/>
          <w:lang w:val="en-US" w:eastAsia="zh-CN"/>
        </w:rPr>
        <w:t>依据《药品注册管理办法》第四十七条和《药品生产监督管理办法》第五十二条规定，需要根据风险管理原则决定是否开展上市前的GMP符合性检查的上市许可药品，其申请人/持有人、药品生产企业接到国家药监局药品注册现场核查通知后，可在15个工作日内向核查中心提交《上市前药品GMP符合性检查沟通交流申请表》（附件1）及必要的沟通交流资料，核查中心组织沟通交流会，基于风险管理原则决定是否开展上市前的GMP符合性检查，形成《上市前药品GMP符合性检查沟通交流反馈表》并送达沟通交流申请人。</w:t>
      </w:r>
    </w:p>
    <w:p>
      <w:pPr>
        <w:spacing w:line="590" w:lineRule="exact"/>
        <w:ind w:firstLine="640" w:firstLineChars="200"/>
        <w:rPr>
          <w:rFonts w:hint="eastAsia" w:ascii="仿宋_GB2312" w:hAnsi="Times New Roman" w:eastAsia="仿宋_GB2312" w:cs="仿宋_GB2312"/>
          <w:color w:val="auto"/>
          <w:kern w:val="2"/>
          <w:sz w:val="32"/>
          <w:szCs w:val="32"/>
          <w:u w:val="none"/>
          <w:lang w:val="en-US" w:eastAsia="zh-CN"/>
        </w:rPr>
      </w:pPr>
    </w:p>
    <w:p>
      <w:pPr>
        <w:keepNext w:val="0"/>
        <w:keepLines w:val="0"/>
        <w:pageBreakBefore w:val="0"/>
        <w:widowControl w:val="0"/>
        <w:numPr>
          <w:ilvl w:val="0"/>
          <w:numId w:val="0"/>
        </w:numPr>
        <w:kinsoku/>
        <w:overflowPunct/>
        <w:topLinePunct w:val="0"/>
        <w:autoSpaceDE/>
        <w:autoSpaceDN/>
        <w:bidi w:val="0"/>
        <w:adjustRightInd w:val="0"/>
        <w:snapToGrid w:val="0"/>
        <w:spacing w:line="590" w:lineRule="exact"/>
        <w:jc w:val="center"/>
        <w:textAlignment w:val="auto"/>
        <w:rPr>
          <w:rFonts w:hint="eastAsia" w:ascii="仿宋_GB2312" w:hAnsi="宋体" w:eastAsia="仿宋_GB2312" w:cs="宋体"/>
          <w:b/>
          <w:bCs/>
          <w:color w:val="auto"/>
          <w:sz w:val="32"/>
          <w:szCs w:val="32"/>
          <w:u w:val="none"/>
          <w:lang w:val="en-US" w:eastAsia="zh-CN"/>
        </w:rPr>
      </w:pPr>
      <w:r>
        <w:rPr>
          <w:rFonts w:hint="eastAsia" w:ascii="黑体" w:hAnsi="黑体" w:eastAsia="黑体" w:cs="黑体"/>
          <w:b w:val="0"/>
          <w:bCs w:val="0"/>
          <w:color w:val="auto"/>
          <w:kern w:val="2"/>
          <w:sz w:val="32"/>
          <w:szCs w:val="32"/>
          <w:u w:val="none"/>
          <w:lang w:val="en-US" w:eastAsia="zh-CN"/>
        </w:rPr>
        <w:t xml:space="preserve">第六章 </w:t>
      </w:r>
      <w:r>
        <w:rPr>
          <w:rFonts w:hint="eastAsia" w:ascii="黑体" w:hAnsi="黑体" w:eastAsia="黑体" w:cs="黑体"/>
          <w:b w:val="0"/>
          <w:bCs w:val="0"/>
          <w:color w:val="auto"/>
          <w:sz w:val="32"/>
          <w:szCs w:val="32"/>
          <w:u w:val="none"/>
          <w:lang w:val="en-US" w:eastAsia="zh-CN"/>
        </w:rPr>
        <w:t>附则</w:t>
      </w:r>
    </w:p>
    <w:p>
      <w:pPr>
        <w:keepNext w:val="0"/>
        <w:keepLines w:val="0"/>
        <w:pageBreakBefore w:val="0"/>
        <w:numPr>
          <w:ilvl w:val="-1"/>
          <w:numId w:val="0"/>
        </w:numPr>
        <w:kinsoku/>
        <w:overflowPunct/>
        <w:topLinePunct w:val="0"/>
        <w:autoSpaceDE/>
        <w:autoSpaceDN/>
        <w:bidi w:val="0"/>
        <w:adjustRightInd w:val="0"/>
        <w:snapToGrid w:val="0"/>
        <w:spacing w:line="590" w:lineRule="exact"/>
        <w:ind w:firstLine="640" w:firstLineChars="200"/>
        <w:jc w:val="both"/>
        <w:textAlignment w:val="auto"/>
        <w:rPr>
          <w:rFonts w:hint="eastAsia" w:ascii="仿宋_GB2312" w:hAnsi="Times New Roman" w:eastAsia="仿宋_GB2312" w:cs="仿宋_GB2312"/>
          <w:color w:val="auto"/>
          <w:kern w:val="2"/>
          <w:sz w:val="32"/>
          <w:szCs w:val="32"/>
          <w:u w:val="none"/>
          <w:lang w:val="en-US" w:eastAsia="zh-CN"/>
        </w:rPr>
      </w:pPr>
      <w:r>
        <w:rPr>
          <w:rFonts w:hint="eastAsia" w:ascii="仿宋_GB2312" w:hAnsi="宋体" w:eastAsia="仿宋_GB2312" w:cs="宋体"/>
          <w:b/>
          <w:bCs/>
          <w:color w:val="auto"/>
          <w:sz w:val="32"/>
          <w:szCs w:val="32"/>
          <w:u w:val="none"/>
          <w:lang w:eastAsia="zh-CN"/>
        </w:rPr>
        <w:t>第三十三条</w:t>
      </w:r>
      <w:r>
        <w:rPr>
          <w:rFonts w:hint="eastAsia" w:ascii="仿宋_GB2312" w:hAnsi="宋体" w:eastAsia="仿宋_GB2312" w:cs="宋体"/>
          <w:color w:val="auto"/>
          <w:sz w:val="32"/>
          <w:szCs w:val="32"/>
          <w:u w:val="none"/>
          <w:lang w:val="en-US" w:eastAsia="zh-CN"/>
        </w:rPr>
        <w:t xml:space="preserve"> </w:t>
      </w:r>
      <w:r>
        <w:rPr>
          <w:rFonts w:hint="eastAsia" w:ascii="仿宋_GB2312" w:hAnsi="宋体" w:eastAsia="仿宋_GB2312" w:cs="宋体"/>
          <w:b/>
          <w:bCs/>
          <w:color w:val="auto"/>
          <w:sz w:val="32"/>
          <w:szCs w:val="32"/>
          <w:u w:val="none"/>
          <w:lang w:val="en-US" w:eastAsia="zh-CN"/>
        </w:rPr>
        <w:t>（配套文件另行制发）</w:t>
      </w:r>
      <w:r>
        <w:rPr>
          <w:rFonts w:hint="eastAsia" w:ascii="仿宋_GB2312" w:hAnsi="Times New Roman" w:eastAsia="仿宋_GB2312" w:cs="仿宋_GB2312"/>
          <w:color w:val="auto"/>
          <w:kern w:val="2"/>
          <w:sz w:val="32"/>
          <w:szCs w:val="32"/>
          <w:u w:val="none"/>
          <w:lang w:val="en-US" w:eastAsia="zh-CN"/>
        </w:rPr>
        <w:t>江苏省药品上市许可持有人生产质量管理信用评定细则另行制定。</w:t>
      </w:r>
      <w:r>
        <w:rPr>
          <w:rFonts w:hint="eastAsia" w:ascii="仿宋_GB2312" w:hAnsi="宋体" w:eastAsia="仿宋_GB2312" w:cs="宋体"/>
          <w:color w:val="auto"/>
          <w:sz w:val="32"/>
          <w:szCs w:val="32"/>
          <w:u w:val="none"/>
          <w:lang w:val="en-US" w:eastAsia="zh-CN"/>
        </w:rPr>
        <w:t>江苏省</w:t>
      </w:r>
      <w:r>
        <w:rPr>
          <w:rFonts w:hint="eastAsia" w:ascii="仿宋_GB2312" w:hAnsi="Times New Roman" w:eastAsia="仿宋_GB2312" w:cs="仿宋_GB2312"/>
          <w:color w:val="auto"/>
          <w:kern w:val="2"/>
          <w:sz w:val="32"/>
          <w:szCs w:val="32"/>
          <w:u w:val="none"/>
          <w:lang w:val="en-US" w:eastAsia="zh-CN"/>
        </w:rPr>
        <w:t>GMP符合性检查相关信息管理系统启用公告另行发布。</w:t>
      </w:r>
    </w:p>
    <w:p>
      <w:pPr>
        <w:keepNext w:val="0"/>
        <w:keepLines w:val="0"/>
        <w:pageBreakBefore w:val="0"/>
        <w:numPr>
          <w:ilvl w:val="-1"/>
          <w:numId w:val="0"/>
        </w:numPr>
        <w:kinsoku/>
        <w:overflowPunct/>
        <w:topLinePunct w:val="0"/>
        <w:autoSpaceDE/>
        <w:autoSpaceDN/>
        <w:bidi w:val="0"/>
        <w:adjustRightInd w:val="0"/>
        <w:snapToGrid w:val="0"/>
        <w:spacing w:line="590" w:lineRule="exact"/>
        <w:ind w:firstLine="640" w:firstLineChars="200"/>
        <w:jc w:val="both"/>
        <w:textAlignment w:val="auto"/>
        <w:rPr>
          <w:rFonts w:hint="default" w:ascii="仿宋_GB2312" w:hAnsi="仿宋_GB2312" w:eastAsia="仿宋_GB2312" w:cs="仿宋_GB2312"/>
          <w:b w:val="0"/>
          <w:bCs w:val="0"/>
          <w:color w:val="auto"/>
          <w:sz w:val="32"/>
          <w:szCs w:val="32"/>
          <w:u w:val="none"/>
          <w:lang w:val="en-US" w:eastAsia="zh-CN"/>
        </w:rPr>
      </w:pPr>
      <w:r>
        <w:rPr>
          <w:rFonts w:hint="eastAsia" w:ascii="仿宋_GB2312" w:hAnsi="Times New Roman" w:eastAsia="仿宋_GB2312" w:cs="仿宋_GB2312"/>
          <w:b/>
          <w:bCs/>
          <w:color w:val="auto"/>
          <w:kern w:val="2"/>
          <w:sz w:val="32"/>
          <w:szCs w:val="32"/>
          <w:u w:val="none"/>
          <w:lang w:val="en-US" w:eastAsia="zh-CN"/>
        </w:rPr>
        <w:t>第三十四条（国家局新规定的依从）</w:t>
      </w:r>
      <w:r>
        <w:rPr>
          <w:rFonts w:hint="eastAsia" w:ascii="仿宋_GB2312" w:hAnsi="Times New Roman" w:eastAsia="仿宋_GB2312" w:cs="仿宋_GB2312"/>
          <w:color w:val="auto"/>
          <w:kern w:val="2"/>
          <w:sz w:val="32"/>
          <w:szCs w:val="32"/>
          <w:u w:val="none"/>
          <w:lang w:val="en-US" w:eastAsia="zh-CN"/>
        </w:rPr>
        <w:t xml:space="preserve"> </w:t>
      </w:r>
      <w:r>
        <w:rPr>
          <w:rFonts w:hint="eastAsia" w:ascii="仿宋_GB2312" w:hAnsi="宋体" w:eastAsia="仿宋_GB2312" w:cs="宋体"/>
          <w:color w:val="auto"/>
          <w:sz w:val="32"/>
          <w:szCs w:val="32"/>
          <w:u w:val="none"/>
          <w:lang w:val="en-US" w:eastAsia="zh-CN"/>
        </w:rPr>
        <w:t>国家药品监督管理局对GMP符合性检查有新规定的，从其规定。</w:t>
      </w:r>
    </w:p>
    <w:p>
      <w:pPr>
        <w:keepNext w:val="0"/>
        <w:keepLines w:val="0"/>
        <w:pageBreakBefore w:val="0"/>
        <w:numPr>
          <w:ilvl w:val="-1"/>
          <w:numId w:val="0"/>
        </w:numPr>
        <w:kinsoku/>
        <w:overflowPunct/>
        <w:topLinePunct w:val="0"/>
        <w:autoSpaceDE/>
        <w:autoSpaceDN/>
        <w:bidi w:val="0"/>
        <w:adjustRightInd w:val="0"/>
        <w:snapToGrid w:val="0"/>
        <w:spacing w:line="590" w:lineRule="exact"/>
        <w:ind w:firstLine="640" w:firstLineChars="200"/>
        <w:jc w:val="both"/>
        <w:textAlignment w:val="auto"/>
        <w:rPr>
          <w:rFonts w:hint="default" w:ascii="仿宋_GB2312" w:hAnsi="仿宋_GB2312" w:eastAsia="仿宋_GB2312" w:cs="仿宋_GB2312"/>
          <w:b w:val="0"/>
          <w:bCs w:val="0"/>
          <w:color w:val="auto"/>
          <w:sz w:val="32"/>
          <w:szCs w:val="32"/>
          <w:u w:val="none"/>
          <w:lang w:val="en-US" w:eastAsia="zh-CN"/>
        </w:rPr>
      </w:pPr>
      <w:r>
        <w:rPr>
          <w:rFonts w:hint="eastAsia" w:ascii="仿宋_GB2312" w:hAnsi="宋体" w:eastAsia="仿宋_GB2312" w:cs="宋体"/>
          <w:b/>
          <w:bCs/>
          <w:color w:val="auto"/>
          <w:sz w:val="32"/>
          <w:szCs w:val="32"/>
          <w:u w:val="none"/>
          <w:lang w:val="en-US" w:eastAsia="zh-CN"/>
        </w:rPr>
        <w:t>第三十五条 （规范性文件施行日期）</w:t>
      </w:r>
      <w:r>
        <w:rPr>
          <w:rFonts w:hint="eastAsia" w:ascii="仿宋_GB2312" w:hAnsi="宋体" w:eastAsia="仿宋_GB2312" w:cs="宋体"/>
          <w:color w:val="auto"/>
          <w:sz w:val="32"/>
          <w:szCs w:val="32"/>
          <w:u w:val="none"/>
          <w:lang w:val="en-US" w:eastAsia="zh-CN"/>
        </w:rPr>
        <w:t>本办法自XX年X月X日起施行（规范性文件一般自发布之日起顺延30天施行）。</w:t>
      </w:r>
    </w:p>
    <w:sectPr>
      <w:footerReference r:id="rId5" w:type="default"/>
      <w:pgSz w:w="11906" w:h="16838"/>
      <w:pgMar w:top="1440" w:right="1576" w:bottom="1440" w:left="1576" w:header="851" w:footer="992" w:gutter="0"/>
      <w:cols w:space="0" w:num="1"/>
      <w:rtlGutter w:val="0"/>
      <w:docGrid w:type="linesAndChar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薇薇" w:date="2022-06-24T10:43:00Z" w:initials="薇薇">
    <w:p w14:paraId="2B3C63AF">
      <w:pPr>
        <w:spacing w:line="360" w:lineRule="auto"/>
        <w:rPr>
          <w:rFonts w:ascii="仿宋" w:hAnsi="仿宋" w:eastAsia="仿宋" w:cs="宋体"/>
          <w:color w:val="FF0000"/>
          <w:szCs w:val="21"/>
        </w:rPr>
      </w:pPr>
      <w:r>
        <w:rPr>
          <w:rFonts w:hint="eastAsia" w:ascii="仿宋" w:hAnsi="仿宋" w:eastAsia="仿宋"/>
          <w:szCs w:val="21"/>
        </w:rPr>
        <w:t>建议删除（五），可将</w:t>
      </w:r>
      <w:r>
        <w:rPr>
          <w:rFonts w:hint="eastAsia" w:ascii="仿宋" w:hAnsi="仿宋" w:eastAsia="仿宋" w:cs="宋体"/>
          <w:color w:val="000000"/>
          <w:szCs w:val="21"/>
        </w:rPr>
        <w:t>（五）改为：</w:t>
      </w:r>
      <w:r>
        <w:rPr>
          <w:rFonts w:hint="eastAsia" w:ascii="仿宋" w:hAnsi="仿宋" w:eastAsia="仿宋" w:cs="宋体"/>
          <w:szCs w:val="21"/>
          <w:highlight w:val="yellow"/>
        </w:rPr>
        <w:t>其他可认定为优先安排的情形。企业应提供相应的官方证明性文件或查询结果以证明属于上述情形。</w:t>
      </w:r>
    </w:p>
    <w:p w14:paraId="7A8C181E">
      <w:pPr>
        <w:spacing w:line="360" w:lineRule="auto"/>
        <w:rPr>
          <w:rFonts w:ascii="仿宋" w:hAnsi="仿宋" w:eastAsia="仿宋"/>
          <w:szCs w:val="21"/>
        </w:rPr>
      </w:pPr>
      <w:r>
        <w:rPr>
          <w:rFonts w:hint="eastAsia"/>
        </w:rPr>
        <w:t>理由：</w:t>
      </w:r>
      <w:r>
        <w:rPr>
          <w:rFonts w:hint="eastAsia" w:ascii="仿宋" w:hAnsi="仿宋" w:eastAsia="仿宋" w:cs="宋体"/>
          <w:szCs w:val="21"/>
        </w:rPr>
        <w:t>原文中（五）的优先理由不充分，且存在倡导企业分开进行检查的弊端。</w:t>
      </w:r>
      <w:r>
        <w:rPr>
          <w:rFonts w:hint="eastAsia" w:ascii="仿宋" w:hAnsi="仿宋" w:eastAsia="仿宋"/>
          <w:szCs w:val="21"/>
        </w:rPr>
        <w:t>应鼓励注册检查同步开展</w:t>
      </w:r>
      <w:r>
        <w:rPr>
          <w:rFonts w:ascii="仿宋" w:hAnsi="仿宋" w:eastAsia="仿宋"/>
          <w:szCs w:val="21"/>
        </w:rPr>
        <w:t>GMP符合性检查，如果此类情况还优先安排，那可能出现很多企业，不申请合并检查，而且后续还可以优先安排GMP，导致检查资源的浪费。</w:t>
      </w:r>
    </w:p>
    <w:p w14:paraId="49D93CF2">
      <w:pPr>
        <w:pStyle w:val="4"/>
      </w:pP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49D93CF2"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Arial Unicode MS"/>
    <w:panose1 w:val="02010600030101010101"/>
    <w:charset w:val="86"/>
    <w:family w:val="auto"/>
    <w:pitch w:val="default"/>
    <w:sig w:usb0="00000000" w:usb1="00000000" w:usb2="00000016" w:usb3="00000000" w:csb0="0004000F" w:csb1="00000000"/>
  </w:font>
  <w:font w:name="Arial Unicode MS">
    <w:panose1 w:val="020B0604020202020204"/>
    <w:charset w:val="86"/>
    <w:family w:val="auto"/>
    <w:pitch w:val="default"/>
    <w:sig w:usb0="FFFFFFFF" w:usb1="E9FFFFFF" w:usb2="0000003F" w:usb3="00000000" w:csb0="603F01FF" w:csb1="FFFF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仿宋_GBK">
    <w:panose1 w:val="03000509000000000000"/>
    <w:charset w:val="86"/>
    <w:family w:val="script"/>
    <w:pitch w:val="default"/>
    <w:sig w:usb0="00000001" w:usb1="080E0000" w:usb2="00000000" w:usb3="00000000" w:csb0="00040000" w:csb1="00000000"/>
  </w:font>
  <w:font w:name="PingFangSC-Regular">
    <w:altName w:val="Times New Roman"/>
    <w:panose1 w:val="00000000000000000000"/>
    <w:charset w:val="00"/>
    <w:family w:val="roman"/>
    <w:pitch w:val="default"/>
    <w:sig w:usb0="00000000" w:usb1="00000000" w:usb2="00000000" w:usb3="00000000" w:csb0="00000000" w:csb1="00000000"/>
  </w:font>
  <w:font w:name="等线">
    <w:altName w:val="Arial Unicode MS"/>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897ADBD"/>
    <w:multiLevelType w:val="singleLevel"/>
    <w:tmpl w:val="6897ADBD"/>
    <w:lvl w:ilvl="0" w:tentative="0">
      <w:start w:val="2"/>
      <w:numFmt w:val="chineseCounting"/>
      <w:suff w:val="space"/>
      <w:lvlText w:val="第%1章"/>
      <w:lvlJc w:val="left"/>
      <w:rPr>
        <w:rFonts w:hint="eastAsia"/>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薇薇">
    <w15:presenceInfo w15:providerId="Windows Live" w15:userId="6e9ec53162939c5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WEwZTY3MjA0ZjBiMWI5OTY0Njg2NWZjNDNhMTFkMGQifQ=="/>
  </w:docVars>
  <w:rsids>
    <w:rsidRoot w:val="00A810E6"/>
    <w:rsid w:val="0000441D"/>
    <w:rsid w:val="0001689B"/>
    <w:rsid w:val="00016942"/>
    <w:rsid w:val="00031B1C"/>
    <w:rsid w:val="0008384F"/>
    <w:rsid w:val="000A0DB7"/>
    <w:rsid w:val="000A3E90"/>
    <w:rsid w:val="000A5A27"/>
    <w:rsid w:val="000A6F93"/>
    <w:rsid w:val="000C4534"/>
    <w:rsid w:val="000D0ABA"/>
    <w:rsid w:val="00103094"/>
    <w:rsid w:val="00123D8B"/>
    <w:rsid w:val="00144C56"/>
    <w:rsid w:val="00157E70"/>
    <w:rsid w:val="00176B1B"/>
    <w:rsid w:val="001A2A2F"/>
    <w:rsid w:val="001A65D5"/>
    <w:rsid w:val="001E172B"/>
    <w:rsid w:val="001E63E5"/>
    <w:rsid w:val="0022557A"/>
    <w:rsid w:val="00232735"/>
    <w:rsid w:val="002363BB"/>
    <w:rsid w:val="00241CBF"/>
    <w:rsid w:val="00266A49"/>
    <w:rsid w:val="00270951"/>
    <w:rsid w:val="00277F01"/>
    <w:rsid w:val="00293675"/>
    <w:rsid w:val="002B6514"/>
    <w:rsid w:val="002B6BE3"/>
    <w:rsid w:val="002E36CC"/>
    <w:rsid w:val="00324803"/>
    <w:rsid w:val="0034037B"/>
    <w:rsid w:val="0035419B"/>
    <w:rsid w:val="003654F0"/>
    <w:rsid w:val="003A7586"/>
    <w:rsid w:val="003C75DB"/>
    <w:rsid w:val="003F6D6E"/>
    <w:rsid w:val="00400B26"/>
    <w:rsid w:val="00413532"/>
    <w:rsid w:val="0042404B"/>
    <w:rsid w:val="004276E6"/>
    <w:rsid w:val="00430BAC"/>
    <w:rsid w:val="00443598"/>
    <w:rsid w:val="0046374F"/>
    <w:rsid w:val="00474E29"/>
    <w:rsid w:val="00485517"/>
    <w:rsid w:val="00495FE8"/>
    <w:rsid w:val="004B71CB"/>
    <w:rsid w:val="004E6DE4"/>
    <w:rsid w:val="00510690"/>
    <w:rsid w:val="00514B48"/>
    <w:rsid w:val="00537D7B"/>
    <w:rsid w:val="0058679F"/>
    <w:rsid w:val="005A4E90"/>
    <w:rsid w:val="005E0559"/>
    <w:rsid w:val="005E14DA"/>
    <w:rsid w:val="005E2BBB"/>
    <w:rsid w:val="00632C4A"/>
    <w:rsid w:val="0063790A"/>
    <w:rsid w:val="00664BAF"/>
    <w:rsid w:val="00665119"/>
    <w:rsid w:val="006B04B1"/>
    <w:rsid w:val="006B1E4C"/>
    <w:rsid w:val="006D45CC"/>
    <w:rsid w:val="006E5AC1"/>
    <w:rsid w:val="006F3203"/>
    <w:rsid w:val="0071520A"/>
    <w:rsid w:val="00731F1F"/>
    <w:rsid w:val="007455C8"/>
    <w:rsid w:val="00750618"/>
    <w:rsid w:val="0075294B"/>
    <w:rsid w:val="00761E7B"/>
    <w:rsid w:val="00761F74"/>
    <w:rsid w:val="0077153C"/>
    <w:rsid w:val="00772405"/>
    <w:rsid w:val="00772921"/>
    <w:rsid w:val="00772FEF"/>
    <w:rsid w:val="0077584C"/>
    <w:rsid w:val="00776AD2"/>
    <w:rsid w:val="0079376F"/>
    <w:rsid w:val="007C1156"/>
    <w:rsid w:val="007C3423"/>
    <w:rsid w:val="007C798D"/>
    <w:rsid w:val="007F6775"/>
    <w:rsid w:val="008050BD"/>
    <w:rsid w:val="00855A2A"/>
    <w:rsid w:val="00866CB8"/>
    <w:rsid w:val="00873578"/>
    <w:rsid w:val="00886706"/>
    <w:rsid w:val="008A4DE3"/>
    <w:rsid w:val="008B5C8E"/>
    <w:rsid w:val="008F2F13"/>
    <w:rsid w:val="008F6C98"/>
    <w:rsid w:val="008F6D5A"/>
    <w:rsid w:val="00901C1F"/>
    <w:rsid w:val="00912E57"/>
    <w:rsid w:val="00934174"/>
    <w:rsid w:val="0094264B"/>
    <w:rsid w:val="00944721"/>
    <w:rsid w:val="00951AAB"/>
    <w:rsid w:val="00955994"/>
    <w:rsid w:val="00974FAE"/>
    <w:rsid w:val="009B15D4"/>
    <w:rsid w:val="009C117F"/>
    <w:rsid w:val="009C7C16"/>
    <w:rsid w:val="009F1094"/>
    <w:rsid w:val="00A35165"/>
    <w:rsid w:val="00A3542F"/>
    <w:rsid w:val="00A4303E"/>
    <w:rsid w:val="00A7479F"/>
    <w:rsid w:val="00A80E2B"/>
    <w:rsid w:val="00A810E6"/>
    <w:rsid w:val="00AB1A41"/>
    <w:rsid w:val="00AB7251"/>
    <w:rsid w:val="00AC744E"/>
    <w:rsid w:val="00AD07B9"/>
    <w:rsid w:val="00AD18D4"/>
    <w:rsid w:val="00AD646D"/>
    <w:rsid w:val="00AE6179"/>
    <w:rsid w:val="00B009E8"/>
    <w:rsid w:val="00B01835"/>
    <w:rsid w:val="00B36978"/>
    <w:rsid w:val="00B62939"/>
    <w:rsid w:val="00B75DF2"/>
    <w:rsid w:val="00B9324C"/>
    <w:rsid w:val="00BB2859"/>
    <w:rsid w:val="00BB6C38"/>
    <w:rsid w:val="00BC220A"/>
    <w:rsid w:val="00BD2D03"/>
    <w:rsid w:val="00BD3683"/>
    <w:rsid w:val="00BE2E5A"/>
    <w:rsid w:val="00C1333D"/>
    <w:rsid w:val="00C13E7F"/>
    <w:rsid w:val="00C2709D"/>
    <w:rsid w:val="00C34284"/>
    <w:rsid w:val="00C351ED"/>
    <w:rsid w:val="00C35896"/>
    <w:rsid w:val="00C53BD8"/>
    <w:rsid w:val="00C567BC"/>
    <w:rsid w:val="00CA6601"/>
    <w:rsid w:val="00CB7523"/>
    <w:rsid w:val="00CC1A4D"/>
    <w:rsid w:val="00CC2530"/>
    <w:rsid w:val="00CC58B4"/>
    <w:rsid w:val="00CC71C8"/>
    <w:rsid w:val="00CD4F11"/>
    <w:rsid w:val="00CF6253"/>
    <w:rsid w:val="00D11C7B"/>
    <w:rsid w:val="00D4069D"/>
    <w:rsid w:val="00D472B0"/>
    <w:rsid w:val="00D67043"/>
    <w:rsid w:val="00D800CC"/>
    <w:rsid w:val="00DB2E54"/>
    <w:rsid w:val="00DD2293"/>
    <w:rsid w:val="00DE170B"/>
    <w:rsid w:val="00DF01B4"/>
    <w:rsid w:val="00DF529D"/>
    <w:rsid w:val="00E1038B"/>
    <w:rsid w:val="00E14E15"/>
    <w:rsid w:val="00E45588"/>
    <w:rsid w:val="00E46739"/>
    <w:rsid w:val="00E511D6"/>
    <w:rsid w:val="00E763F5"/>
    <w:rsid w:val="00E81146"/>
    <w:rsid w:val="00EC612C"/>
    <w:rsid w:val="00EC6B9B"/>
    <w:rsid w:val="00EF078A"/>
    <w:rsid w:val="00F2142C"/>
    <w:rsid w:val="00F7731E"/>
    <w:rsid w:val="00FA699C"/>
    <w:rsid w:val="00FD6586"/>
    <w:rsid w:val="00FE09D6"/>
    <w:rsid w:val="00FE7C9E"/>
    <w:rsid w:val="00FF1D09"/>
    <w:rsid w:val="02DD3BBA"/>
    <w:rsid w:val="02E23CE3"/>
    <w:rsid w:val="030318B8"/>
    <w:rsid w:val="03081429"/>
    <w:rsid w:val="03637846"/>
    <w:rsid w:val="036914A1"/>
    <w:rsid w:val="038325D2"/>
    <w:rsid w:val="03A66208"/>
    <w:rsid w:val="042778F2"/>
    <w:rsid w:val="047A6264"/>
    <w:rsid w:val="047C6B32"/>
    <w:rsid w:val="047E0922"/>
    <w:rsid w:val="04BD7D6A"/>
    <w:rsid w:val="04E60209"/>
    <w:rsid w:val="06286B97"/>
    <w:rsid w:val="06AE109C"/>
    <w:rsid w:val="07F3182F"/>
    <w:rsid w:val="07FC2953"/>
    <w:rsid w:val="08292D2C"/>
    <w:rsid w:val="084A5DB4"/>
    <w:rsid w:val="084F70F2"/>
    <w:rsid w:val="08545B7D"/>
    <w:rsid w:val="08597ED3"/>
    <w:rsid w:val="08DC57CD"/>
    <w:rsid w:val="09061CDB"/>
    <w:rsid w:val="095809AD"/>
    <w:rsid w:val="099A2E21"/>
    <w:rsid w:val="09FD6111"/>
    <w:rsid w:val="0AD4271F"/>
    <w:rsid w:val="0B193687"/>
    <w:rsid w:val="0B5417EE"/>
    <w:rsid w:val="0B5F2ACA"/>
    <w:rsid w:val="0C6B1986"/>
    <w:rsid w:val="0CA35A93"/>
    <w:rsid w:val="0D246BD4"/>
    <w:rsid w:val="0D395A8D"/>
    <w:rsid w:val="0D41372F"/>
    <w:rsid w:val="0D673763"/>
    <w:rsid w:val="0DCA4F04"/>
    <w:rsid w:val="0E3A68B5"/>
    <w:rsid w:val="0FCB1A95"/>
    <w:rsid w:val="0FF71645"/>
    <w:rsid w:val="10086339"/>
    <w:rsid w:val="10A05504"/>
    <w:rsid w:val="10D935E7"/>
    <w:rsid w:val="11431E07"/>
    <w:rsid w:val="11457119"/>
    <w:rsid w:val="114A5ACF"/>
    <w:rsid w:val="11753E93"/>
    <w:rsid w:val="12D90B2D"/>
    <w:rsid w:val="12E7051E"/>
    <w:rsid w:val="13023513"/>
    <w:rsid w:val="130E1B4B"/>
    <w:rsid w:val="131164D7"/>
    <w:rsid w:val="131E5F70"/>
    <w:rsid w:val="13266AB0"/>
    <w:rsid w:val="135F5FCA"/>
    <w:rsid w:val="13AA5959"/>
    <w:rsid w:val="13BA5B9C"/>
    <w:rsid w:val="143771ED"/>
    <w:rsid w:val="15B8435D"/>
    <w:rsid w:val="16031B67"/>
    <w:rsid w:val="16705944"/>
    <w:rsid w:val="176E0FB5"/>
    <w:rsid w:val="177C760C"/>
    <w:rsid w:val="1789595E"/>
    <w:rsid w:val="17B74295"/>
    <w:rsid w:val="17D15BAA"/>
    <w:rsid w:val="18087CF7"/>
    <w:rsid w:val="180F493D"/>
    <w:rsid w:val="182C2DE0"/>
    <w:rsid w:val="18B538D2"/>
    <w:rsid w:val="1A4D604C"/>
    <w:rsid w:val="1B0D17E8"/>
    <w:rsid w:val="1B1F4E7E"/>
    <w:rsid w:val="1B760518"/>
    <w:rsid w:val="1C1C24C7"/>
    <w:rsid w:val="1C4B0E0E"/>
    <w:rsid w:val="1CFA007A"/>
    <w:rsid w:val="1D0B4FA0"/>
    <w:rsid w:val="1D332753"/>
    <w:rsid w:val="1D3F35B6"/>
    <w:rsid w:val="1DE303E5"/>
    <w:rsid w:val="1DF80238"/>
    <w:rsid w:val="1DFC6A55"/>
    <w:rsid w:val="1E0472EF"/>
    <w:rsid w:val="1F61794F"/>
    <w:rsid w:val="1F736326"/>
    <w:rsid w:val="1F7F6D65"/>
    <w:rsid w:val="208417B9"/>
    <w:rsid w:val="20945600"/>
    <w:rsid w:val="209B0B03"/>
    <w:rsid w:val="20B837C1"/>
    <w:rsid w:val="20D80D0E"/>
    <w:rsid w:val="20E029BA"/>
    <w:rsid w:val="212E1977"/>
    <w:rsid w:val="21384AE2"/>
    <w:rsid w:val="219A0F17"/>
    <w:rsid w:val="21A32365"/>
    <w:rsid w:val="21C64986"/>
    <w:rsid w:val="22EA2A6A"/>
    <w:rsid w:val="23170A38"/>
    <w:rsid w:val="2360628B"/>
    <w:rsid w:val="24DA5766"/>
    <w:rsid w:val="25CF0AF4"/>
    <w:rsid w:val="25F10E9A"/>
    <w:rsid w:val="26D92385"/>
    <w:rsid w:val="27861817"/>
    <w:rsid w:val="28744C4A"/>
    <w:rsid w:val="28871665"/>
    <w:rsid w:val="29295318"/>
    <w:rsid w:val="29EB2AFB"/>
    <w:rsid w:val="2A01652C"/>
    <w:rsid w:val="2A03141E"/>
    <w:rsid w:val="2A0E5F79"/>
    <w:rsid w:val="2AB75FD1"/>
    <w:rsid w:val="2B417CD0"/>
    <w:rsid w:val="2B635E79"/>
    <w:rsid w:val="2BF67536"/>
    <w:rsid w:val="2CC42672"/>
    <w:rsid w:val="2CE675AA"/>
    <w:rsid w:val="2D623B8D"/>
    <w:rsid w:val="2E785ACA"/>
    <w:rsid w:val="2EB52A65"/>
    <w:rsid w:val="2EC557C9"/>
    <w:rsid w:val="2F2D3A40"/>
    <w:rsid w:val="2F846120"/>
    <w:rsid w:val="2F9652FA"/>
    <w:rsid w:val="2FAA71AF"/>
    <w:rsid w:val="300E12F2"/>
    <w:rsid w:val="309877C2"/>
    <w:rsid w:val="30C506DF"/>
    <w:rsid w:val="31115079"/>
    <w:rsid w:val="312427F1"/>
    <w:rsid w:val="31616EE8"/>
    <w:rsid w:val="31645749"/>
    <w:rsid w:val="316E2C40"/>
    <w:rsid w:val="31DD3167"/>
    <w:rsid w:val="323810C2"/>
    <w:rsid w:val="327D4F8C"/>
    <w:rsid w:val="32B56A63"/>
    <w:rsid w:val="32C1638B"/>
    <w:rsid w:val="32D44394"/>
    <w:rsid w:val="32E5728A"/>
    <w:rsid w:val="32F80037"/>
    <w:rsid w:val="33930B1C"/>
    <w:rsid w:val="34121B5C"/>
    <w:rsid w:val="34FD66CA"/>
    <w:rsid w:val="36415851"/>
    <w:rsid w:val="36AA64F4"/>
    <w:rsid w:val="373B4B09"/>
    <w:rsid w:val="373C2447"/>
    <w:rsid w:val="38283BF0"/>
    <w:rsid w:val="382972A1"/>
    <w:rsid w:val="38E4679C"/>
    <w:rsid w:val="391B69D5"/>
    <w:rsid w:val="391C48AC"/>
    <w:rsid w:val="39326465"/>
    <w:rsid w:val="39C57C88"/>
    <w:rsid w:val="3B330D11"/>
    <w:rsid w:val="3B967244"/>
    <w:rsid w:val="3BA41EF0"/>
    <w:rsid w:val="3BAB580A"/>
    <w:rsid w:val="3BCD35B2"/>
    <w:rsid w:val="3BEB37A9"/>
    <w:rsid w:val="3C54527A"/>
    <w:rsid w:val="3C8748C0"/>
    <w:rsid w:val="3CDE3DFA"/>
    <w:rsid w:val="3D047564"/>
    <w:rsid w:val="3D6562C9"/>
    <w:rsid w:val="3E0022E5"/>
    <w:rsid w:val="3F232B48"/>
    <w:rsid w:val="3F2F2908"/>
    <w:rsid w:val="3F3C2314"/>
    <w:rsid w:val="3F96506D"/>
    <w:rsid w:val="40436D86"/>
    <w:rsid w:val="405F16F6"/>
    <w:rsid w:val="407C4980"/>
    <w:rsid w:val="41195D48"/>
    <w:rsid w:val="41542AF5"/>
    <w:rsid w:val="41E521E9"/>
    <w:rsid w:val="42475ED1"/>
    <w:rsid w:val="432A5C7C"/>
    <w:rsid w:val="436A4639"/>
    <w:rsid w:val="437C5721"/>
    <w:rsid w:val="44150A49"/>
    <w:rsid w:val="448D4A83"/>
    <w:rsid w:val="449A2CFC"/>
    <w:rsid w:val="44A3059B"/>
    <w:rsid w:val="44BC64C9"/>
    <w:rsid w:val="44FA033C"/>
    <w:rsid w:val="45350C77"/>
    <w:rsid w:val="455C7B3C"/>
    <w:rsid w:val="456821E7"/>
    <w:rsid w:val="456D21BF"/>
    <w:rsid w:val="457A6A94"/>
    <w:rsid w:val="45D9142F"/>
    <w:rsid w:val="45E1528D"/>
    <w:rsid w:val="46132D66"/>
    <w:rsid w:val="462E594E"/>
    <w:rsid w:val="476756F2"/>
    <w:rsid w:val="47864919"/>
    <w:rsid w:val="48C1521D"/>
    <w:rsid w:val="48E2683C"/>
    <w:rsid w:val="490E5BB1"/>
    <w:rsid w:val="499F1387"/>
    <w:rsid w:val="49E44F2F"/>
    <w:rsid w:val="49F64EFD"/>
    <w:rsid w:val="4A4F2D2E"/>
    <w:rsid w:val="4A6A466F"/>
    <w:rsid w:val="4A8D761B"/>
    <w:rsid w:val="4AE426B1"/>
    <w:rsid w:val="4B814C16"/>
    <w:rsid w:val="4BDF343B"/>
    <w:rsid w:val="4BFA702D"/>
    <w:rsid w:val="4CDF4C78"/>
    <w:rsid w:val="4D6445FB"/>
    <w:rsid w:val="4D793F0B"/>
    <w:rsid w:val="4DB60D0D"/>
    <w:rsid w:val="4DC80BAD"/>
    <w:rsid w:val="4DFD77C9"/>
    <w:rsid w:val="4E3577C3"/>
    <w:rsid w:val="4E3A10AC"/>
    <w:rsid w:val="4EC21522"/>
    <w:rsid w:val="4F1A6191"/>
    <w:rsid w:val="4F6401CB"/>
    <w:rsid w:val="500B663D"/>
    <w:rsid w:val="503A5CDF"/>
    <w:rsid w:val="504D7713"/>
    <w:rsid w:val="50630DB9"/>
    <w:rsid w:val="5073073B"/>
    <w:rsid w:val="511D0BF3"/>
    <w:rsid w:val="51265CE2"/>
    <w:rsid w:val="513F440B"/>
    <w:rsid w:val="516F7CE2"/>
    <w:rsid w:val="51705D70"/>
    <w:rsid w:val="517F36D2"/>
    <w:rsid w:val="51816462"/>
    <w:rsid w:val="519A0648"/>
    <w:rsid w:val="5209194D"/>
    <w:rsid w:val="52C5117E"/>
    <w:rsid w:val="5315277B"/>
    <w:rsid w:val="53565240"/>
    <w:rsid w:val="535B007F"/>
    <w:rsid w:val="537E315B"/>
    <w:rsid w:val="53AA2830"/>
    <w:rsid w:val="544F5F91"/>
    <w:rsid w:val="54547460"/>
    <w:rsid w:val="54660968"/>
    <w:rsid w:val="5479292E"/>
    <w:rsid w:val="55211CC3"/>
    <w:rsid w:val="559F54E9"/>
    <w:rsid w:val="563809E7"/>
    <w:rsid w:val="56794E67"/>
    <w:rsid w:val="56D02DD1"/>
    <w:rsid w:val="56D06A51"/>
    <w:rsid w:val="57086795"/>
    <w:rsid w:val="5763445E"/>
    <w:rsid w:val="5781416D"/>
    <w:rsid w:val="57A63FAC"/>
    <w:rsid w:val="57C31292"/>
    <w:rsid w:val="57F4051E"/>
    <w:rsid w:val="58247A62"/>
    <w:rsid w:val="589974C7"/>
    <w:rsid w:val="599B7BD1"/>
    <w:rsid w:val="5A69518A"/>
    <w:rsid w:val="5B790B7A"/>
    <w:rsid w:val="5C083423"/>
    <w:rsid w:val="5C182A2D"/>
    <w:rsid w:val="5C2004A0"/>
    <w:rsid w:val="5C361105"/>
    <w:rsid w:val="5C4F0418"/>
    <w:rsid w:val="5D2660FE"/>
    <w:rsid w:val="5D6323CD"/>
    <w:rsid w:val="5D6610B7"/>
    <w:rsid w:val="5D6E4233"/>
    <w:rsid w:val="5D7E3D9F"/>
    <w:rsid w:val="5D94091B"/>
    <w:rsid w:val="5E454D22"/>
    <w:rsid w:val="5E712A21"/>
    <w:rsid w:val="5EA56E25"/>
    <w:rsid w:val="5EBD733C"/>
    <w:rsid w:val="5EBF4268"/>
    <w:rsid w:val="5EDD1D0C"/>
    <w:rsid w:val="5F786330"/>
    <w:rsid w:val="5FB46F10"/>
    <w:rsid w:val="60C4348B"/>
    <w:rsid w:val="60E372AE"/>
    <w:rsid w:val="60E7174D"/>
    <w:rsid w:val="61461E8A"/>
    <w:rsid w:val="61B165FF"/>
    <w:rsid w:val="628218E8"/>
    <w:rsid w:val="62C03E1E"/>
    <w:rsid w:val="62D923A0"/>
    <w:rsid w:val="62E8400A"/>
    <w:rsid w:val="6385552E"/>
    <w:rsid w:val="63B87B66"/>
    <w:rsid w:val="645B611D"/>
    <w:rsid w:val="6497724C"/>
    <w:rsid w:val="64E9211E"/>
    <w:rsid w:val="64F300FE"/>
    <w:rsid w:val="65B12CDB"/>
    <w:rsid w:val="661466E5"/>
    <w:rsid w:val="66263F98"/>
    <w:rsid w:val="667E3996"/>
    <w:rsid w:val="66B270D1"/>
    <w:rsid w:val="66C31FE5"/>
    <w:rsid w:val="6744501E"/>
    <w:rsid w:val="67724E57"/>
    <w:rsid w:val="6788381D"/>
    <w:rsid w:val="68382115"/>
    <w:rsid w:val="6857308D"/>
    <w:rsid w:val="68613C07"/>
    <w:rsid w:val="68A609F6"/>
    <w:rsid w:val="68C34F7D"/>
    <w:rsid w:val="68E93A75"/>
    <w:rsid w:val="696C4B66"/>
    <w:rsid w:val="69DC0241"/>
    <w:rsid w:val="69E33862"/>
    <w:rsid w:val="69F50851"/>
    <w:rsid w:val="6B3F1FB0"/>
    <w:rsid w:val="6B4579C9"/>
    <w:rsid w:val="6B620323"/>
    <w:rsid w:val="6DD84C2C"/>
    <w:rsid w:val="6DEB3BCA"/>
    <w:rsid w:val="6DFD7BA4"/>
    <w:rsid w:val="6E7A421E"/>
    <w:rsid w:val="6EA06080"/>
    <w:rsid w:val="6F2B6AC3"/>
    <w:rsid w:val="6F37049F"/>
    <w:rsid w:val="6FC12746"/>
    <w:rsid w:val="6FC46450"/>
    <w:rsid w:val="6FD878B8"/>
    <w:rsid w:val="706304A8"/>
    <w:rsid w:val="70727D0E"/>
    <w:rsid w:val="70BE0373"/>
    <w:rsid w:val="712A09DC"/>
    <w:rsid w:val="716628D9"/>
    <w:rsid w:val="719429C1"/>
    <w:rsid w:val="71BD7D44"/>
    <w:rsid w:val="724E4FA2"/>
    <w:rsid w:val="7251504D"/>
    <w:rsid w:val="72517B06"/>
    <w:rsid w:val="72A311AE"/>
    <w:rsid w:val="72B9430E"/>
    <w:rsid w:val="72C51D9A"/>
    <w:rsid w:val="7340633A"/>
    <w:rsid w:val="73F556C7"/>
    <w:rsid w:val="73F64FDE"/>
    <w:rsid w:val="73FE2057"/>
    <w:rsid w:val="75024544"/>
    <w:rsid w:val="75E46A7C"/>
    <w:rsid w:val="76645879"/>
    <w:rsid w:val="766742AB"/>
    <w:rsid w:val="76AE5FE1"/>
    <w:rsid w:val="774B79FD"/>
    <w:rsid w:val="780761E0"/>
    <w:rsid w:val="78314062"/>
    <w:rsid w:val="785C3E53"/>
    <w:rsid w:val="78830093"/>
    <w:rsid w:val="78E31D16"/>
    <w:rsid w:val="79403C01"/>
    <w:rsid w:val="7963339C"/>
    <w:rsid w:val="7A9279F6"/>
    <w:rsid w:val="7AA8721A"/>
    <w:rsid w:val="7AAD037B"/>
    <w:rsid w:val="7BBC3EC2"/>
    <w:rsid w:val="7C0C3FC6"/>
    <w:rsid w:val="7C433809"/>
    <w:rsid w:val="7C563566"/>
    <w:rsid w:val="7CCC1137"/>
    <w:rsid w:val="7D2A7A6B"/>
    <w:rsid w:val="7D9E6C67"/>
    <w:rsid w:val="7DD20BB3"/>
    <w:rsid w:val="7DDA2AEA"/>
    <w:rsid w:val="7E442C37"/>
    <w:rsid w:val="7E8A4F91"/>
    <w:rsid w:val="7EED2772"/>
    <w:rsid w:val="7F09047C"/>
    <w:rsid w:val="7F0E00C1"/>
    <w:rsid w:val="7F78442D"/>
    <w:rsid w:val="7F857E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7"/>
    <w:qFormat/>
    <w:uiPriority w:val="9"/>
    <w:pPr>
      <w:keepNext/>
      <w:keepLines/>
      <w:spacing w:before="340" w:after="330" w:line="578" w:lineRule="auto"/>
      <w:outlineLvl w:val="0"/>
    </w:pPr>
    <w:rPr>
      <w:b/>
      <w:bCs/>
      <w:kern w:val="44"/>
      <w:sz w:val="44"/>
      <w:szCs w:val="44"/>
    </w:rPr>
  </w:style>
  <w:style w:type="paragraph" w:styleId="3">
    <w:name w:val="heading 2"/>
    <w:basedOn w:val="1"/>
    <w:next w:val="1"/>
    <w:semiHidden/>
    <w:unhideWhenUsed/>
    <w:qFormat/>
    <w:uiPriority w:val="9"/>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20"/>
    <w:semiHidden/>
    <w:unhideWhenUsed/>
    <w:qFormat/>
    <w:uiPriority w:val="99"/>
    <w:pPr>
      <w:jc w:val="left"/>
    </w:pPr>
  </w:style>
  <w:style w:type="paragraph" w:styleId="5">
    <w:name w:val="Balloon Text"/>
    <w:basedOn w:val="1"/>
    <w:link w:val="22"/>
    <w:semiHidden/>
    <w:unhideWhenUsed/>
    <w:qFormat/>
    <w:uiPriority w:val="99"/>
    <w:rPr>
      <w:sz w:val="18"/>
      <w:szCs w:val="18"/>
    </w:rPr>
  </w:style>
  <w:style w:type="paragraph" w:styleId="6">
    <w:name w:val="footer"/>
    <w:basedOn w:val="1"/>
    <w:link w:val="16"/>
    <w:unhideWhenUsed/>
    <w:qFormat/>
    <w:uiPriority w:val="99"/>
    <w:pPr>
      <w:tabs>
        <w:tab w:val="center" w:pos="4153"/>
        <w:tab w:val="right" w:pos="8306"/>
      </w:tabs>
      <w:snapToGrid w:val="0"/>
      <w:jc w:val="left"/>
    </w:pPr>
    <w:rPr>
      <w:sz w:val="18"/>
      <w:szCs w:val="18"/>
    </w:rPr>
  </w:style>
  <w:style w:type="paragraph" w:styleId="7">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9">
    <w:name w:val="annotation subject"/>
    <w:basedOn w:val="4"/>
    <w:next w:val="4"/>
    <w:link w:val="21"/>
    <w:semiHidden/>
    <w:unhideWhenUsed/>
    <w:qFormat/>
    <w:uiPriority w:val="99"/>
    <w:rPr>
      <w:b/>
      <w:bCs/>
    </w:rPr>
  </w:style>
  <w:style w:type="table" w:styleId="11">
    <w:name w:val="Table Grid"/>
    <w:basedOn w:val="1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Hyperlink"/>
    <w:basedOn w:val="12"/>
    <w:qFormat/>
    <w:uiPriority w:val="0"/>
    <w:rPr>
      <w:color w:val="0000FF"/>
      <w:u w:val="single"/>
    </w:rPr>
  </w:style>
  <w:style w:type="character" w:styleId="14">
    <w:name w:val="annotation reference"/>
    <w:basedOn w:val="12"/>
    <w:semiHidden/>
    <w:unhideWhenUsed/>
    <w:qFormat/>
    <w:uiPriority w:val="99"/>
    <w:rPr>
      <w:sz w:val="21"/>
      <w:szCs w:val="21"/>
    </w:rPr>
  </w:style>
  <w:style w:type="character" w:customStyle="1" w:styleId="15">
    <w:name w:val="页眉 字符"/>
    <w:basedOn w:val="12"/>
    <w:link w:val="7"/>
    <w:qFormat/>
    <w:uiPriority w:val="99"/>
    <w:rPr>
      <w:sz w:val="18"/>
      <w:szCs w:val="18"/>
    </w:rPr>
  </w:style>
  <w:style w:type="character" w:customStyle="1" w:styleId="16">
    <w:name w:val="页脚 字符"/>
    <w:basedOn w:val="12"/>
    <w:link w:val="6"/>
    <w:qFormat/>
    <w:uiPriority w:val="99"/>
    <w:rPr>
      <w:sz w:val="18"/>
      <w:szCs w:val="18"/>
    </w:rPr>
  </w:style>
  <w:style w:type="character" w:customStyle="1" w:styleId="17">
    <w:name w:val="标题 1 字符"/>
    <w:basedOn w:val="12"/>
    <w:link w:val="2"/>
    <w:qFormat/>
    <w:uiPriority w:val="9"/>
    <w:rPr>
      <w:b/>
      <w:bCs/>
      <w:kern w:val="44"/>
      <w:sz w:val="44"/>
      <w:szCs w:val="44"/>
    </w:rPr>
  </w:style>
  <w:style w:type="paragraph" w:styleId="18">
    <w:name w:val="List Paragraph"/>
    <w:basedOn w:val="1"/>
    <w:qFormat/>
    <w:uiPriority w:val="34"/>
    <w:pPr>
      <w:ind w:firstLine="420" w:firstLineChars="200"/>
    </w:pPr>
  </w:style>
  <w:style w:type="paragraph" w:customStyle="1" w:styleId="19">
    <w:name w:val="Revision"/>
    <w:hidden/>
    <w:semiHidden/>
    <w:qFormat/>
    <w:uiPriority w:val="99"/>
    <w:rPr>
      <w:rFonts w:asciiTheme="minorHAnsi" w:hAnsiTheme="minorHAnsi" w:eastAsiaTheme="minorEastAsia" w:cstheme="minorBidi"/>
      <w:kern w:val="2"/>
      <w:sz w:val="21"/>
      <w:szCs w:val="22"/>
      <w:lang w:val="en-US" w:eastAsia="zh-CN" w:bidi="ar-SA"/>
    </w:rPr>
  </w:style>
  <w:style w:type="character" w:customStyle="1" w:styleId="20">
    <w:name w:val="批注文字 字符"/>
    <w:basedOn w:val="12"/>
    <w:link w:val="4"/>
    <w:semiHidden/>
    <w:qFormat/>
    <w:uiPriority w:val="99"/>
  </w:style>
  <w:style w:type="character" w:customStyle="1" w:styleId="21">
    <w:name w:val="批注主题 字符"/>
    <w:basedOn w:val="20"/>
    <w:link w:val="9"/>
    <w:semiHidden/>
    <w:qFormat/>
    <w:uiPriority w:val="99"/>
    <w:rPr>
      <w:b/>
      <w:bCs/>
    </w:rPr>
  </w:style>
  <w:style w:type="character" w:customStyle="1" w:styleId="22">
    <w:name w:val="批注框文本 字符"/>
    <w:basedOn w:val="12"/>
    <w:link w:val="5"/>
    <w:semiHidden/>
    <w:qFormat/>
    <w:uiPriority w:val="99"/>
    <w:rPr>
      <w:sz w:val="18"/>
      <w:szCs w:val="18"/>
    </w:rPr>
  </w:style>
  <w:style w:type="character" w:customStyle="1" w:styleId="23">
    <w:name w:val="font21"/>
    <w:basedOn w:val="12"/>
    <w:qFormat/>
    <w:uiPriority w:val="0"/>
    <w:rPr>
      <w:rFonts w:hint="eastAsia" w:ascii="黑体" w:hAnsi="宋体" w:eastAsia="黑体" w:cs="黑体"/>
      <w:color w:val="000000"/>
      <w:sz w:val="24"/>
      <w:szCs w:val="24"/>
      <w:u w:val="none"/>
    </w:rPr>
  </w:style>
  <w:style w:type="character" w:customStyle="1" w:styleId="24">
    <w:name w:val="font01"/>
    <w:basedOn w:val="12"/>
    <w:qFormat/>
    <w:uiPriority w:val="0"/>
    <w:rPr>
      <w:rFonts w:hint="default" w:ascii="Times New Roman" w:hAnsi="Times New Roman" w:cs="Times New Roman"/>
      <w:color w:val="000000"/>
      <w:sz w:val="24"/>
      <w:szCs w:val="24"/>
      <w:u w:val="none"/>
    </w:rPr>
  </w:style>
  <w:style w:type="character" w:customStyle="1" w:styleId="25">
    <w:name w:val="font11"/>
    <w:basedOn w:val="12"/>
    <w:qFormat/>
    <w:uiPriority w:val="0"/>
    <w:rPr>
      <w:rFonts w:ascii="仿宋_GB2312" w:eastAsia="仿宋_GB2312" w:cs="仿宋_GB2312"/>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0" Type="http://schemas.microsoft.com/office/2011/relationships/people" Target="peop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8081</Words>
  <Characters>8265</Characters>
  <Lines>45</Lines>
  <Paragraphs>12</Paragraphs>
  <TotalTime>9</TotalTime>
  <ScaleCrop>false</ScaleCrop>
  <LinksUpToDate>false</LinksUpToDate>
  <CharactersWithSpaces>8307</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2022-05-17T08:59:00Z</dcterms:created>
  <dc:creator>张 薇薇</dc:creator>
  <cp:lastModifiedBy>bluedrop96</cp:lastModifiedBy>
  <cp:lastPrinted>2022-06-09T07:49:00Z</cp:lastPrinted>
  <dcterms:modified xsi:type="dcterms:W3CDTF">2022-07-04T07:21:07Z</dcterms:modified>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EB0594F7950D4D619070CA5F8BB2383B</vt:lpwstr>
  </property>
</Properties>
</file>