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339C41">
      <w:pPr>
        <w:rPr>
          <w:rFonts w:hint="eastAsia" w:ascii="方正黑体_GBK" w:hAnsi="方正黑体_GBK" w:eastAsia="方正黑体_GBK" w:cs="方正黑体_GBK"/>
          <w:b w:val="0"/>
          <w:bCs w:val="0"/>
          <w:spacing w:val="0"/>
          <w:sz w:val="32"/>
          <w:szCs w:val="32"/>
          <w:lang w:val="en-US" w:eastAsia="zh-CN"/>
        </w:rPr>
      </w:pPr>
      <w:r>
        <w:rPr>
          <w:rFonts w:hint="eastAsia" w:ascii="方正黑体_GBK" w:hAnsi="方正黑体_GBK" w:eastAsia="方正黑体_GBK" w:cs="方正黑体_GBK"/>
          <w:b w:val="0"/>
          <w:bCs w:val="0"/>
          <w:spacing w:val="0"/>
          <w:sz w:val="32"/>
          <w:szCs w:val="32"/>
          <w:lang w:val="en-US" w:eastAsia="zh-CN"/>
        </w:rPr>
        <w:t>附件1</w:t>
      </w:r>
    </w:p>
    <w:p w14:paraId="5000FE90">
      <w:pPr>
        <w:widowControl w:val="0"/>
        <w:numPr>
          <w:ilvl w:val="255"/>
          <w:numId w:val="0"/>
        </w:numPr>
        <w:kinsoku/>
        <w:autoSpaceDE/>
        <w:autoSpaceDN/>
        <w:adjustRightInd/>
        <w:snapToGrid/>
        <w:spacing w:line="240" w:lineRule="auto"/>
        <w:ind w:firstLine="0" w:firstLineChars="0"/>
        <w:jc w:val="center"/>
        <w:textAlignment w:val="auto"/>
        <w:rPr>
          <w:rFonts w:hint="eastAsia" w:ascii="黑体" w:hAnsi="黑体" w:eastAsia="黑体" w:cs="黑体"/>
          <w:snapToGrid/>
          <w:color w:val="auto"/>
          <w:kern w:val="2"/>
          <w:sz w:val="44"/>
          <w:szCs w:val="44"/>
        </w:rPr>
      </w:pPr>
    </w:p>
    <w:p w14:paraId="67D88157">
      <w:pPr>
        <w:widowControl w:val="0"/>
        <w:numPr>
          <w:ilvl w:val="255"/>
          <w:numId w:val="0"/>
        </w:numPr>
        <w:kinsoku/>
        <w:autoSpaceDE/>
        <w:autoSpaceDN/>
        <w:adjustRightInd/>
        <w:snapToGrid/>
        <w:spacing w:line="240" w:lineRule="auto"/>
        <w:ind w:firstLine="0" w:firstLineChars="0"/>
        <w:jc w:val="center"/>
        <w:textAlignment w:val="auto"/>
        <w:rPr>
          <w:rFonts w:ascii="黑体" w:hAnsi="黑体" w:eastAsia="黑体" w:cs="黑体"/>
          <w:snapToGrid/>
          <w:color w:val="auto"/>
          <w:kern w:val="2"/>
          <w:sz w:val="44"/>
          <w:szCs w:val="44"/>
        </w:rPr>
      </w:pPr>
      <w:r>
        <w:rPr>
          <w:rFonts w:hint="eastAsia" w:ascii="黑体" w:hAnsi="黑体" w:eastAsia="黑体" w:cs="黑体"/>
          <w:snapToGrid/>
          <w:color w:val="auto"/>
          <w:kern w:val="2"/>
          <w:sz w:val="44"/>
          <w:szCs w:val="44"/>
        </w:rPr>
        <w:t>金属接骨板内固定系统成品检验指南</w:t>
      </w:r>
    </w:p>
    <w:p w14:paraId="0C9A6BB0">
      <w:pPr>
        <w:widowControl w:val="0"/>
        <w:numPr>
          <w:ilvl w:val="255"/>
          <w:numId w:val="0"/>
        </w:numPr>
        <w:kinsoku/>
        <w:autoSpaceDE/>
        <w:autoSpaceDN/>
        <w:adjustRightInd/>
        <w:snapToGrid/>
        <w:spacing w:line="240" w:lineRule="auto"/>
        <w:ind w:firstLine="0" w:firstLineChars="0"/>
        <w:jc w:val="center"/>
        <w:textAlignment w:val="auto"/>
        <w:rPr>
          <w:rFonts w:hint="eastAsia" w:ascii="黑体" w:hAnsi="黑体" w:eastAsia="黑体" w:cs="黑体"/>
          <w:snapToGrid/>
          <w:color w:val="auto"/>
          <w:kern w:val="2"/>
          <w:sz w:val="44"/>
          <w:szCs w:val="44"/>
        </w:rPr>
      </w:pPr>
      <w:r>
        <w:rPr>
          <w:rFonts w:hint="eastAsia" w:ascii="黑体" w:hAnsi="黑体" w:eastAsia="黑体" w:cs="黑体"/>
          <w:snapToGrid/>
          <w:color w:val="auto"/>
          <w:kern w:val="2"/>
          <w:sz w:val="44"/>
          <w:szCs w:val="44"/>
        </w:rPr>
        <w:t>（试行）征求意见稿</w:t>
      </w:r>
    </w:p>
    <w:p w14:paraId="55CFA918">
      <w:pPr>
        <w:widowControl w:val="0"/>
        <w:numPr>
          <w:ilvl w:val="255"/>
          <w:numId w:val="0"/>
        </w:numPr>
        <w:kinsoku/>
        <w:autoSpaceDE/>
        <w:autoSpaceDN/>
        <w:adjustRightInd/>
        <w:snapToGrid/>
        <w:spacing w:line="240" w:lineRule="auto"/>
        <w:ind w:firstLine="0" w:firstLineChars="0"/>
        <w:jc w:val="center"/>
        <w:textAlignment w:val="auto"/>
        <w:rPr>
          <w:rFonts w:hint="eastAsia" w:ascii="黑体" w:hAnsi="黑体" w:eastAsia="黑体" w:cs="黑体"/>
          <w:snapToGrid/>
          <w:color w:val="auto"/>
          <w:kern w:val="2"/>
          <w:sz w:val="44"/>
          <w:szCs w:val="44"/>
        </w:rPr>
      </w:pPr>
    </w:p>
    <w:p w14:paraId="12A7C602">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为指导医疗器械注册人、受托生产企业（以下简称企业）及监管人员做好金属接骨板内固定系统质量管理，加强质量控制，依据《医疗器械监督管理条例》《医疗器械生产监督管理办法》《医疗器械生产质量管理规范》《医疗器械产品技术要求编写指导原则》《医疗器械生产企业质量控制与成品放行指南》《金属接骨板内固定系统产品注册技术审查指导原则》及相关标准等文件，制定金属接骨板内固定系统成品检验指南。</w:t>
      </w:r>
    </w:p>
    <w:p w14:paraId="674F7E9D">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本指南是对企业和监管人员的指导性文件，需在遵循相关法规和强制性标准的前提下使用。</w:t>
      </w:r>
    </w:p>
    <w:p w14:paraId="3BC8920D">
      <w:pPr>
        <w:widowControl w:val="0"/>
        <w:numPr>
          <w:ilvl w:val="0"/>
          <w:numId w:val="0"/>
        </w:numPr>
        <w:kinsoku/>
        <w:autoSpaceDE/>
        <w:autoSpaceDN/>
        <w:adjustRightInd/>
        <w:snapToGrid/>
        <w:spacing w:line="240" w:lineRule="auto"/>
        <w:ind w:firstLine="0" w:firstLineChars="0"/>
        <w:jc w:val="both"/>
        <w:textAlignment w:val="auto"/>
        <w:rPr>
          <w:rFonts w:ascii="黑体" w:hAnsi="黑体" w:eastAsia="黑体" w:cs="黑体"/>
          <w:snapToGrid/>
          <w:color w:val="auto"/>
          <w:kern w:val="2"/>
          <w:sz w:val="28"/>
          <w:szCs w:val="28"/>
        </w:rPr>
      </w:pPr>
      <w:r>
        <w:rPr>
          <w:rFonts w:hint="eastAsia" w:ascii="黑体" w:hAnsi="黑体" w:eastAsia="黑体" w:cs="黑体"/>
          <w:snapToGrid/>
          <w:color w:val="auto"/>
          <w:kern w:val="2"/>
          <w:sz w:val="28"/>
          <w:szCs w:val="28"/>
        </w:rPr>
        <w:t xml:space="preserve"> </w:t>
      </w:r>
      <w:r>
        <w:rPr>
          <w:rFonts w:ascii="黑体" w:hAnsi="黑体" w:eastAsia="黑体" w:cs="黑体"/>
          <w:snapToGrid/>
          <w:color w:val="auto"/>
          <w:kern w:val="2"/>
          <w:sz w:val="28"/>
          <w:szCs w:val="28"/>
        </w:rPr>
        <w:t xml:space="preserve">   </w:t>
      </w:r>
      <w:r>
        <w:rPr>
          <w:rFonts w:hint="eastAsia" w:ascii="黑体" w:hAnsi="黑体" w:eastAsia="黑体" w:cs="黑体"/>
          <w:snapToGrid/>
          <w:color w:val="auto"/>
          <w:kern w:val="2"/>
          <w:sz w:val="28"/>
          <w:szCs w:val="28"/>
        </w:rPr>
        <w:t>一、基本要求</w:t>
      </w:r>
    </w:p>
    <w:p w14:paraId="7EBD5F1E">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企业应按照医疗器械生产质量管理规范</w:t>
      </w:r>
      <w:r>
        <w:rPr>
          <w:rFonts w:hint="eastAsia" w:ascii="宋体" w:hAnsi="宋体" w:eastAsia="宋体" w:cs="宋体"/>
          <w:snapToGrid/>
          <w:color w:val="auto"/>
          <w:kern w:val="2"/>
          <w:sz w:val="28"/>
          <w:szCs w:val="28"/>
          <w:lang w:eastAsia="zh-CN"/>
        </w:rPr>
        <w:t>的要求，</w:t>
      </w:r>
      <w:r>
        <w:rPr>
          <w:rFonts w:hint="eastAsia" w:ascii="宋体" w:hAnsi="宋体" w:eastAsia="宋体" w:cs="宋体"/>
          <w:snapToGrid/>
          <w:color w:val="auto"/>
          <w:kern w:val="2"/>
          <w:sz w:val="28"/>
          <w:szCs w:val="28"/>
        </w:rPr>
        <w:t>建立健全与金属接骨板内固定系统相适应的质量管理体系，将确保产品安全、有效、质量可控的所有要求系统地贯彻到设计及开发、采购、生产、质量控制、贮存、运输及服务等活动全过程。</w:t>
      </w:r>
    </w:p>
    <w:p w14:paraId="657BFC87">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企业应当建立质量控制程序，明确产品质量管理组织机构、检验人员、检验操作规程以及取样、检验设备、产品放行以及留样等要求，确保原材料或者成品在放行前完成必要的检验，质量符合要求。</w:t>
      </w:r>
    </w:p>
    <w:p w14:paraId="560720EA">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企业应当根据强制性标准以及经注册的产品技术要求、产品交付要求、企业内部控制标准等制定成品检验规程。成品检验规程应当确定成品需要实施常规控制的验证</w:t>
      </w:r>
      <w:r>
        <w:rPr>
          <w:rFonts w:ascii="宋体" w:hAnsi="宋体" w:eastAsia="宋体" w:cs="宋体"/>
          <w:snapToGrid/>
          <w:color w:val="auto"/>
          <w:kern w:val="2"/>
          <w:sz w:val="28"/>
          <w:szCs w:val="28"/>
        </w:rPr>
        <w:t>/确认/监视/测量/检验/试验程序与要求，确</w:t>
      </w:r>
      <w:r>
        <w:rPr>
          <w:rFonts w:hint="eastAsia" w:ascii="宋体" w:hAnsi="宋体" w:eastAsia="宋体" w:cs="宋体"/>
          <w:snapToGrid/>
          <w:color w:val="auto"/>
          <w:kern w:val="2"/>
          <w:sz w:val="28"/>
          <w:szCs w:val="28"/>
        </w:rPr>
        <w:t>保每批成品都符合接收准则。接收和拒收及其相关处置措施都应予以记录。</w:t>
      </w:r>
    </w:p>
    <w:p w14:paraId="5D572092">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成品检验规程应当明确成品的名称、规格型号、验证/确认/监视/测量/检验/试验项目和方法、适用的仪器设备和器具、抽样程序、抽样方案、接收准则、引用标准/引用测量程序和相关记录等内容。抽样规则及判定准则有相关标准要求的，应优先采用标准。</w:t>
      </w:r>
    </w:p>
    <w:p w14:paraId="326E52D7">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本指南是依据现行法规、标准及指导原则结合金属接骨板内固定系统制定，是对金属接骨板内固定系统成品检验的一般要求，企业可依据指南</w:t>
      </w:r>
      <w:r>
        <w:rPr>
          <w:rFonts w:hint="eastAsia" w:ascii="宋体" w:hAnsi="宋体" w:eastAsia="宋体" w:cs="宋体"/>
          <w:snapToGrid/>
          <w:color w:val="auto"/>
          <w:kern w:val="2"/>
          <w:sz w:val="28"/>
          <w:szCs w:val="28"/>
          <w:lang w:eastAsia="zh-CN"/>
        </w:rPr>
        <w:t>制</w:t>
      </w:r>
      <w:r>
        <w:rPr>
          <w:rFonts w:hint="eastAsia" w:ascii="宋体" w:hAnsi="宋体" w:eastAsia="宋体" w:cs="宋体"/>
          <w:snapToGrid/>
          <w:color w:val="auto"/>
          <w:kern w:val="2"/>
          <w:sz w:val="28"/>
          <w:szCs w:val="28"/>
        </w:rPr>
        <w:t>定成品检验规程，如有不适用，应有理由及相应的科学依据。</w:t>
      </w:r>
    </w:p>
    <w:p w14:paraId="3CBB5F37">
      <w:pPr>
        <w:widowControl w:val="0"/>
        <w:numPr>
          <w:ilvl w:val="0"/>
          <w:numId w:val="1"/>
        </w:numPr>
        <w:spacing w:line="520" w:lineRule="exact"/>
        <w:ind w:left="1280" w:hanging="720" w:firstLineChars="0"/>
        <w:jc w:val="both"/>
        <w:rPr>
          <w:rFonts w:ascii="黑体" w:hAnsi="黑体" w:eastAsia="黑体" w:cs="黑体"/>
          <w:color w:val="auto"/>
          <w:kern w:val="2"/>
          <w:sz w:val="28"/>
          <w:szCs w:val="28"/>
          <w:lang w:val="en-US" w:eastAsia="zh-CN" w:bidi="ar-SA"/>
        </w:rPr>
      </w:pPr>
      <w:r>
        <w:rPr>
          <w:rFonts w:hint="eastAsia" w:ascii="黑体" w:hAnsi="黑体" w:eastAsia="黑体" w:cs="黑体"/>
          <w:color w:val="auto"/>
          <w:kern w:val="2"/>
          <w:sz w:val="28"/>
          <w:szCs w:val="28"/>
          <w:lang w:val="en-US" w:eastAsia="zh-CN" w:bidi="ar-SA"/>
        </w:rPr>
        <w:t>适用范围</w:t>
      </w:r>
    </w:p>
    <w:p w14:paraId="449E159C">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本指南涵盖的金属接骨板内固定系统适用于四肢骨（包括上肢带骨：锁骨、肩胛骨；自由上肢骨：肱骨、桡骨、尺骨、腕骨、掌骨、指骨，下肢带骨：髋骨、坐骨、耻骨；自由下肢骨：股骨、髌骨、胫骨、腓骨、跗骨、跖骨、趾骨、跟骨、距骨）骨折内固定；组件可包括非锁定金属接骨板、非锁定金属接骨螺钉、锁定金属接骨板、锁定金属接骨螺钉、空心螺钉、螺栓、垫圈和螺塞；通常由外科植入物用金属材料制成，如纯钛、钛合金、不锈钢、高氮不锈钢、锻造钴铬钼合金。</w:t>
      </w:r>
    </w:p>
    <w:p w14:paraId="20EA3DFD">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镁合金、高韧性纯钛等新型金属材料制成的接骨板内固定系统不属于本指南的范围，但企业可参考本指南中适用的内容。本指南不适用特殊设计及创新设计的产品。</w:t>
      </w:r>
    </w:p>
    <w:p w14:paraId="125CBEAB">
      <w:pPr>
        <w:widowControl w:val="0"/>
        <w:kinsoku/>
        <w:autoSpaceDE/>
        <w:autoSpaceDN/>
        <w:adjustRightInd/>
        <w:snapToGrid/>
        <w:spacing w:line="520" w:lineRule="exact"/>
        <w:ind w:left="567"/>
        <w:jc w:val="both"/>
        <w:textAlignment w:val="auto"/>
        <w:rPr>
          <w:rFonts w:ascii="黑体" w:hAnsi="黑体" w:eastAsia="黑体" w:cs="黑体"/>
          <w:snapToGrid/>
          <w:color w:val="auto"/>
          <w:kern w:val="2"/>
          <w:sz w:val="28"/>
          <w:szCs w:val="28"/>
        </w:rPr>
      </w:pPr>
      <w:r>
        <w:rPr>
          <w:rFonts w:hint="eastAsia" w:ascii="黑体" w:hAnsi="黑体" w:eastAsia="黑体" w:cs="黑体"/>
          <w:snapToGrid/>
          <w:color w:val="auto"/>
          <w:kern w:val="2"/>
          <w:sz w:val="28"/>
          <w:szCs w:val="28"/>
          <w:highlight w:val="none"/>
        </w:rPr>
        <w:t>三、</w:t>
      </w:r>
      <w:r>
        <w:rPr>
          <w:rFonts w:hint="eastAsia" w:ascii="黑体" w:hAnsi="黑体" w:eastAsia="黑体" w:cs="黑体"/>
          <w:snapToGrid/>
          <w:color w:val="auto"/>
          <w:kern w:val="2"/>
          <w:sz w:val="28"/>
          <w:szCs w:val="28"/>
        </w:rPr>
        <w:t>产品涉及的相关标准及指导原则</w:t>
      </w:r>
    </w:p>
    <w:p w14:paraId="0E5698AF">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 4234系列标准《外科植入物金属材料》</w:t>
      </w:r>
    </w:p>
    <w:p w14:paraId="052059B8">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GB/T 14233.1医用输液、输血、注射器具检验方法 第1部分：化学分析方法</w:t>
      </w:r>
    </w:p>
    <w:p w14:paraId="449E048E">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GB/T 10610 产品几何技术规范（GPS）表面结构轮廓法评定表面结构的规则和方法</w:t>
      </w:r>
    </w:p>
    <w:p w14:paraId="7F0423C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GB/T 13810 外科植入物用钛及钛合金加工材GB/T 16886 医疗器械生物学评价系列标准</w:t>
      </w:r>
    </w:p>
    <w:p w14:paraId="7E51BEE1">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GB/T 4340.1  金属材料 维氏硬度试验 第1部分：试验方法</w:t>
      </w:r>
    </w:p>
    <w:p w14:paraId="7A4DFCED">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GB/T 16886.5 医疗器械生物学评价 第5部分：体外细胞毒性试验</w:t>
      </w:r>
    </w:p>
    <w:p w14:paraId="1819BEDF">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GB 23102 外科植入物金属材料Ti-6Al-7Nb合金加工材</w:t>
      </w:r>
    </w:p>
    <w:p w14:paraId="7627F55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0640 无源外科植入物 通用要求</w:t>
      </w:r>
    </w:p>
    <w:p w14:paraId="506A5B03">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ascii="宋体" w:hAnsi="宋体" w:eastAsia="宋体" w:cs="宋体"/>
          <w:snapToGrid/>
          <w:color w:val="auto"/>
          <w:kern w:val="2"/>
          <w:sz w:val="28"/>
          <w:szCs w:val="28"/>
        </w:rPr>
        <w:t>YY 0605</w:t>
      </w:r>
      <w:r>
        <w:rPr>
          <w:rFonts w:hint="eastAsia" w:ascii="宋体" w:hAnsi="宋体" w:eastAsia="宋体" w:cs="宋体"/>
          <w:snapToGrid/>
          <w:color w:val="auto"/>
          <w:kern w:val="2"/>
          <w:sz w:val="28"/>
          <w:szCs w:val="28"/>
        </w:rPr>
        <w:t>系列标准</w:t>
      </w:r>
      <w:r>
        <w:rPr>
          <w:rFonts w:ascii="宋体" w:hAnsi="宋体" w:eastAsia="宋体" w:cs="宋体"/>
          <w:snapToGrid/>
          <w:color w:val="auto"/>
          <w:kern w:val="2"/>
          <w:sz w:val="28"/>
          <w:szCs w:val="28"/>
        </w:rPr>
        <w:t xml:space="preserve"> 外科植入物 金属材料 </w:t>
      </w:r>
    </w:p>
    <w:p w14:paraId="5859FC7A">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 0017 骨接合植入物 金属接骨板</w:t>
      </w:r>
    </w:p>
    <w:p w14:paraId="6C1B1EDF">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 0018 骨接合植入物 金属接骨螺钉</w:t>
      </w:r>
    </w:p>
    <w:p w14:paraId="389C65E7">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0342外科植入物 接骨板弯曲强度和刚度的测定</w:t>
      </w:r>
    </w:p>
    <w:p w14:paraId="32E895D6">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1503 外科植入物 金属接骨板弯曲疲劳性能试验方法</w:t>
      </w:r>
    </w:p>
    <w:p w14:paraId="2E0DCB7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1074 外科植入物 不锈钢产品点蚀电位</w:t>
      </w:r>
    </w:p>
    <w:p w14:paraId="75573981">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1615外科植入物 钛及钛合金阳极氧化膜通用要求</w:t>
      </w:r>
    </w:p>
    <w:p w14:paraId="2CC3081E">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 xml:space="preserve">YY 0341.1 无源外科植入物 骨接合与脊柱植入物 第1部分：骨接合植入物特殊要求 </w:t>
      </w:r>
    </w:p>
    <w:p w14:paraId="45230546">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 xml:space="preserve">YY/T 0343 外科金属植入物液体渗透检验 </w:t>
      </w:r>
    </w:p>
    <w:p w14:paraId="6226F0BD">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0662 外科植入物 不对称螺纹和球形下表面的金属接骨螺钉 机械性能要求和试验方法</w:t>
      </w:r>
    </w:p>
    <w:p w14:paraId="2CB651E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1504 外科植入物 金属接骨螺钉轴向拔出力试验方法</w:t>
      </w:r>
    </w:p>
    <w:p w14:paraId="29088186">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1505 外科植入物 金属接骨螺钉自攻性能试验方法</w:t>
      </w:r>
    </w:p>
    <w:p w14:paraId="22E2E359">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YY/T 1506 外科植入物 金属接骨螺钉旋动扭矩试验方法</w:t>
      </w:r>
    </w:p>
    <w:p w14:paraId="3EB8474A">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 xml:space="preserve">《金属接骨板内固定系统产品注册技术审查指导原则》 </w:t>
      </w:r>
    </w:p>
    <w:p w14:paraId="6A147E34">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《中华人民共和国药典》（2025版）</w:t>
      </w:r>
    </w:p>
    <w:p w14:paraId="5C776E9A">
      <w:pPr>
        <w:widowControl w:val="0"/>
        <w:kinsoku/>
        <w:autoSpaceDE/>
        <w:autoSpaceDN/>
        <w:adjustRightInd/>
        <w:snapToGrid/>
        <w:spacing w:line="520" w:lineRule="exact"/>
        <w:ind w:left="0" w:firstLine="560" w:firstLineChars="200"/>
        <w:jc w:val="both"/>
        <w:textAlignment w:val="auto"/>
        <w:rPr>
          <w:rFonts w:ascii="黑体" w:hAnsi="黑体" w:eastAsia="黑体" w:cs="黑体"/>
          <w:snapToGrid/>
          <w:color w:val="auto"/>
          <w:kern w:val="2"/>
          <w:sz w:val="28"/>
          <w:szCs w:val="28"/>
        </w:rPr>
      </w:pPr>
      <w:r>
        <w:rPr>
          <w:rFonts w:hint="eastAsia" w:ascii="黑体" w:hAnsi="黑体" w:eastAsia="黑体" w:cs="黑体"/>
          <w:snapToGrid/>
          <w:color w:val="auto"/>
          <w:kern w:val="2"/>
          <w:sz w:val="28"/>
          <w:szCs w:val="28"/>
        </w:rPr>
        <w:t>四、产品主要性能指标</w:t>
      </w:r>
    </w:p>
    <w:p w14:paraId="48E4384B">
      <w:pPr>
        <w:widowControl w:val="0"/>
        <w:numPr>
          <w:ilvl w:val="0"/>
          <w:numId w:val="0"/>
        </w:numPr>
        <w:spacing w:line="520" w:lineRule="exact"/>
        <w:ind w:left="560" w:firstLine="0" w:firstLineChars="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金属接骨板系统产品技术要求中的主要性能指标：</w:t>
      </w:r>
    </w:p>
    <w:p w14:paraId="448CB87A">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1.外观</w:t>
      </w:r>
    </w:p>
    <w:p w14:paraId="088015D7">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企业根据自身产品特点自行规定（应涵盖YY 0017、YY 0018相关内容）。</w:t>
      </w:r>
    </w:p>
    <w:p w14:paraId="7B04CDF8">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2.尺寸</w:t>
      </w:r>
    </w:p>
    <w:p w14:paraId="1134739E">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企业根据自身产品特点自行规定（应涵盖YY 0017、YY 0018相关内容）。</w:t>
      </w:r>
    </w:p>
    <w:p w14:paraId="757456FF">
      <w:pPr>
        <w:widowControl w:val="0"/>
        <w:numPr>
          <w:ilvl w:val="0"/>
          <w:numId w:val="2"/>
        </w:numPr>
        <w:spacing w:line="520" w:lineRule="exact"/>
        <w:ind w:left="437" w:leftChars="171" w:hanging="78" w:hangingChars="28"/>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尺寸应是关联产品质量和特性的关键尺寸。</w:t>
      </w:r>
    </w:p>
    <w:p w14:paraId="51A5C3C3">
      <w:pPr>
        <w:widowControl w:val="0"/>
        <w:numPr>
          <w:ilvl w:val="0"/>
          <w:numId w:val="2"/>
        </w:numPr>
        <w:spacing w:line="520" w:lineRule="exact"/>
        <w:ind w:left="437" w:leftChars="171" w:hanging="78" w:hangingChars="28"/>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接骨螺钉至少包含螺纹最大直径、底径、头部直径d，且应符合YY 0018中表2-表10或ISO5835、ISO9268的规定。</w:t>
      </w:r>
    </w:p>
    <w:p w14:paraId="211BAC50">
      <w:pPr>
        <w:widowControl w:val="0"/>
        <w:numPr>
          <w:ilvl w:val="0"/>
          <w:numId w:val="2"/>
        </w:numPr>
        <w:spacing w:line="520" w:lineRule="exact"/>
        <w:ind w:left="437" w:leftChars="171" w:hanging="78" w:hangingChars="28"/>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特殊系列规格的接骨螺钉的尺寸及公差由企业根据临床需要制定相关要求。</w:t>
      </w:r>
    </w:p>
    <w:p w14:paraId="7535AF47">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3.硬度</w:t>
      </w:r>
    </w:p>
    <w:p w14:paraId="2DFD4C13">
      <w:pPr>
        <w:widowControl w:val="0"/>
        <w:kinsoku/>
        <w:autoSpaceDE/>
        <w:autoSpaceDN/>
        <w:adjustRightInd/>
        <w:snapToGrid/>
        <w:spacing w:line="520" w:lineRule="exact"/>
        <w:ind w:firstLine="560" w:firstLineChars="200"/>
        <w:jc w:val="both"/>
        <w:textAlignment w:val="auto"/>
        <w:rPr>
          <w:rFonts w:hint="eastAsia"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金属接骨板系统的硬度应符合下表要求。</w:t>
      </w:r>
    </w:p>
    <w:p w14:paraId="0BC414A7">
      <w:pPr>
        <w:widowControl w:val="0"/>
        <w:kinsoku/>
        <w:autoSpaceDE/>
        <w:autoSpaceDN/>
        <w:adjustRightInd/>
        <w:snapToGrid/>
        <w:spacing w:line="520" w:lineRule="exact"/>
        <w:ind w:firstLine="560" w:firstLineChars="200"/>
        <w:jc w:val="both"/>
        <w:textAlignment w:val="auto"/>
        <w:rPr>
          <w:rFonts w:hint="eastAsia" w:ascii="宋体" w:hAnsi="宋体" w:eastAsia="宋体" w:cs="宋体"/>
          <w:snapToGrid/>
          <w:color w:val="auto"/>
          <w:kern w:val="2"/>
          <w:sz w:val="28"/>
          <w:szCs w:val="28"/>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tblGrid>
      <w:tr w14:paraId="69E4A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840" w:type="dxa"/>
            <w:shd w:val="clear" w:color="auto" w:fill="E7E6E6"/>
            <w:vAlign w:val="center"/>
          </w:tcPr>
          <w:p w14:paraId="409FE9D7">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材料</w:t>
            </w:r>
          </w:p>
        </w:tc>
        <w:tc>
          <w:tcPr>
            <w:tcW w:w="2841" w:type="dxa"/>
            <w:shd w:val="clear" w:color="auto" w:fill="E7E6E6"/>
            <w:vAlign w:val="center"/>
          </w:tcPr>
          <w:p w14:paraId="0F9FA3BF">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硬度</w:t>
            </w:r>
          </w:p>
        </w:tc>
      </w:tr>
      <w:tr w14:paraId="0AD4E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840" w:type="dxa"/>
            <w:vAlign w:val="center"/>
          </w:tcPr>
          <w:p w14:paraId="1B361905">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不锈钢</w:t>
            </w:r>
          </w:p>
        </w:tc>
        <w:tc>
          <w:tcPr>
            <w:tcW w:w="2841" w:type="dxa"/>
            <w:vAlign w:val="center"/>
          </w:tcPr>
          <w:p w14:paraId="04A01C23">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w:t>
            </w:r>
            <w:r>
              <w:rPr>
                <w:rFonts w:hint="eastAsia" w:ascii="Times New Roman" w:hAnsi="Times New Roman" w:eastAsia="宋体" w:cs="Times New Roman"/>
                <w:snapToGrid/>
                <w:color w:val="auto"/>
                <w:kern w:val="2"/>
                <w:sz w:val="28"/>
                <w:szCs w:val="28"/>
              </w:rPr>
              <w:t>210HV10</w:t>
            </w:r>
          </w:p>
        </w:tc>
      </w:tr>
      <w:tr w14:paraId="1426D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840" w:type="dxa"/>
            <w:vAlign w:val="center"/>
          </w:tcPr>
          <w:p w14:paraId="5C0332B6">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钛合金</w:t>
            </w:r>
          </w:p>
        </w:tc>
        <w:tc>
          <w:tcPr>
            <w:tcW w:w="2841" w:type="dxa"/>
            <w:vAlign w:val="center"/>
          </w:tcPr>
          <w:p w14:paraId="5BC5EACC">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w:t>
            </w:r>
            <w:r>
              <w:rPr>
                <w:rFonts w:hint="eastAsia" w:ascii="Times New Roman" w:hAnsi="Times New Roman" w:eastAsia="宋体" w:cs="Times New Roman"/>
                <w:snapToGrid/>
                <w:color w:val="auto"/>
                <w:kern w:val="2"/>
                <w:sz w:val="28"/>
                <w:szCs w:val="28"/>
              </w:rPr>
              <w:t>260HV10</w:t>
            </w:r>
          </w:p>
        </w:tc>
      </w:tr>
      <w:tr w14:paraId="77BFE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840" w:type="dxa"/>
            <w:vAlign w:val="center"/>
          </w:tcPr>
          <w:p w14:paraId="27A3D3E3">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纯钛</w:t>
            </w:r>
          </w:p>
        </w:tc>
        <w:tc>
          <w:tcPr>
            <w:tcW w:w="2841" w:type="dxa"/>
            <w:vAlign w:val="center"/>
          </w:tcPr>
          <w:p w14:paraId="7AC72252">
            <w:pPr>
              <w:widowControl w:val="0"/>
              <w:kinsoku/>
              <w:autoSpaceDE/>
              <w:autoSpaceDN/>
              <w:adjustRightInd/>
              <w:snapToGrid/>
              <w:spacing w:line="520" w:lineRule="exact"/>
              <w:ind w:firstLine="560" w:firstLineChars="200"/>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w:t>
            </w:r>
            <w:r>
              <w:rPr>
                <w:rFonts w:hint="eastAsia" w:ascii="Times New Roman" w:hAnsi="Times New Roman" w:eastAsia="宋体" w:cs="Times New Roman"/>
                <w:snapToGrid/>
                <w:color w:val="auto"/>
                <w:kern w:val="2"/>
                <w:sz w:val="28"/>
                <w:szCs w:val="28"/>
              </w:rPr>
              <w:t>150HV10</w:t>
            </w:r>
          </w:p>
        </w:tc>
      </w:tr>
    </w:tbl>
    <w:p w14:paraId="1F697073">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注：</w:t>
      </w:r>
    </w:p>
    <w:p w14:paraId="6EC3B28D">
      <w:pPr>
        <w:widowControl w:val="0"/>
        <w:numPr>
          <w:ilvl w:val="0"/>
          <w:numId w:val="3"/>
        </w:numPr>
        <w:spacing w:line="520" w:lineRule="exact"/>
        <w:ind w:left="40" w:leftChars="19" w:firstLine="498" w:firstLineChars="178"/>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对于需要塑形的重建接骨板，企业可根据临床需要对产品的硬度进行规定。</w:t>
      </w:r>
    </w:p>
    <w:p w14:paraId="34579EDE">
      <w:pPr>
        <w:widowControl w:val="0"/>
        <w:numPr>
          <w:ilvl w:val="0"/>
          <w:numId w:val="3"/>
        </w:numPr>
        <w:spacing w:line="520" w:lineRule="exact"/>
        <w:ind w:left="40" w:leftChars="19" w:firstLine="498" w:firstLineChars="178"/>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由GB 4234中规定的不锈钢材料制造的接骨螺钉，若符合YY 0018-2016表11中的规定，可以不检测硬度。</w:t>
      </w:r>
    </w:p>
    <w:p w14:paraId="603FDBB8">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4.表面缺陷</w:t>
      </w:r>
    </w:p>
    <w:p w14:paraId="3D9A9234">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产品表面不得有不连续性缺陷。</w:t>
      </w:r>
    </w:p>
    <w:p w14:paraId="4454758C">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5.表面粗糙度</w:t>
      </w:r>
    </w:p>
    <w:p w14:paraId="17980BA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产品表面粗糙度不得大于下表要求。</w:t>
      </w:r>
    </w:p>
    <w:p w14:paraId="1EFE9B3B">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接骨板：</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1554"/>
        <w:gridCol w:w="2428"/>
        <w:gridCol w:w="1765"/>
      </w:tblGrid>
      <w:tr w14:paraId="0A630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668" w:type="dxa"/>
            <w:shd w:val="clear" w:color="auto" w:fill="E7E6E6"/>
            <w:tcMar>
              <w:top w:w="0" w:type="dxa"/>
              <w:left w:w="0" w:type="dxa"/>
              <w:bottom w:w="0" w:type="dxa"/>
              <w:right w:w="0" w:type="dxa"/>
            </w:tcMar>
            <w:vAlign w:val="center"/>
          </w:tcPr>
          <w:p w14:paraId="6AF2AA8E">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材料类型</w:t>
            </w:r>
          </w:p>
        </w:tc>
        <w:tc>
          <w:tcPr>
            <w:tcW w:w="1554" w:type="dxa"/>
            <w:shd w:val="clear" w:color="auto" w:fill="E7E6E6"/>
            <w:tcMar>
              <w:top w:w="0" w:type="dxa"/>
              <w:left w:w="0" w:type="dxa"/>
              <w:bottom w:w="0" w:type="dxa"/>
              <w:right w:w="0" w:type="dxa"/>
            </w:tcMar>
            <w:vAlign w:val="center"/>
          </w:tcPr>
          <w:p w14:paraId="5816732F">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孔槽</w:t>
            </w:r>
          </w:p>
        </w:tc>
        <w:tc>
          <w:tcPr>
            <w:tcW w:w="2428" w:type="dxa"/>
            <w:shd w:val="clear" w:color="auto" w:fill="E7E6E6"/>
            <w:tcMar>
              <w:top w:w="0" w:type="dxa"/>
              <w:left w:w="0" w:type="dxa"/>
              <w:bottom w:w="0" w:type="dxa"/>
              <w:right w:w="0" w:type="dxa"/>
            </w:tcMar>
            <w:vAlign w:val="center"/>
          </w:tcPr>
          <w:p w14:paraId="1F12C667">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光滑内表面</w:t>
            </w:r>
          </w:p>
        </w:tc>
        <w:tc>
          <w:tcPr>
            <w:tcW w:w="1765" w:type="dxa"/>
            <w:shd w:val="clear" w:color="auto" w:fill="E7E6E6"/>
            <w:tcMar>
              <w:top w:w="0" w:type="dxa"/>
              <w:left w:w="0" w:type="dxa"/>
              <w:bottom w:w="0" w:type="dxa"/>
              <w:right w:w="0" w:type="dxa"/>
            </w:tcMar>
            <w:vAlign w:val="center"/>
          </w:tcPr>
          <w:p w14:paraId="4352F672">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光滑外表面</w:t>
            </w:r>
          </w:p>
        </w:tc>
      </w:tr>
      <w:tr w14:paraId="31ADB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668" w:type="dxa"/>
            <w:tcMar>
              <w:top w:w="0" w:type="dxa"/>
              <w:left w:w="0" w:type="dxa"/>
              <w:bottom w:w="0" w:type="dxa"/>
              <w:right w:w="0" w:type="dxa"/>
            </w:tcMar>
            <w:vAlign w:val="center"/>
          </w:tcPr>
          <w:p w14:paraId="75D22A19">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不锈钢</w:t>
            </w:r>
          </w:p>
        </w:tc>
        <w:tc>
          <w:tcPr>
            <w:tcW w:w="1554" w:type="dxa"/>
            <w:tcMar>
              <w:top w:w="0" w:type="dxa"/>
              <w:left w:w="0" w:type="dxa"/>
              <w:bottom w:w="0" w:type="dxa"/>
              <w:right w:w="0" w:type="dxa"/>
            </w:tcMar>
            <w:vAlign w:val="center"/>
          </w:tcPr>
          <w:p w14:paraId="29A6E7D6">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3.2μm</w:t>
            </w:r>
          </w:p>
        </w:tc>
        <w:tc>
          <w:tcPr>
            <w:tcW w:w="2428" w:type="dxa"/>
            <w:tcMar>
              <w:top w:w="0" w:type="dxa"/>
              <w:left w:w="0" w:type="dxa"/>
              <w:bottom w:w="0" w:type="dxa"/>
              <w:right w:w="0" w:type="dxa"/>
            </w:tcMar>
            <w:vAlign w:val="center"/>
          </w:tcPr>
          <w:p w14:paraId="1169266D">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0.8μm</w:t>
            </w:r>
          </w:p>
        </w:tc>
        <w:tc>
          <w:tcPr>
            <w:tcW w:w="1765" w:type="dxa"/>
            <w:tcMar>
              <w:top w:w="0" w:type="dxa"/>
              <w:left w:w="0" w:type="dxa"/>
              <w:bottom w:w="0" w:type="dxa"/>
              <w:right w:w="0" w:type="dxa"/>
            </w:tcMar>
            <w:vAlign w:val="center"/>
          </w:tcPr>
          <w:p w14:paraId="131DBFF0">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0.4μm</w:t>
            </w:r>
          </w:p>
        </w:tc>
      </w:tr>
      <w:tr w14:paraId="4D32D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668" w:type="dxa"/>
            <w:tcMar>
              <w:top w:w="0" w:type="dxa"/>
              <w:left w:w="0" w:type="dxa"/>
              <w:bottom w:w="0" w:type="dxa"/>
              <w:right w:w="0" w:type="dxa"/>
            </w:tcMar>
            <w:vAlign w:val="center"/>
          </w:tcPr>
          <w:p w14:paraId="0D038B84">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钛及钛合金</w:t>
            </w:r>
          </w:p>
        </w:tc>
        <w:tc>
          <w:tcPr>
            <w:tcW w:w="1554" w:type="dxa"/>
            <w:tcMar>
              <w:top w:w="0" w:type="dxa"/>
              <w:left w:w="0" w:type="dxa"/>
              <w:bottom w:w="0" w:type="dxa"/>
              <w:right w:w="0" w:type="dxa"/>
            </w:tcMar>
            <w:vAlign w:val="center"/>
          </w:tcPr>
          <w:p w14:paraId="1F26C7C8">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3.2μm</w:t>
            </w:r>
          </w:p>
        </w:tc>
        <w:tc>
          <w:tcPr>
            <w:tcW w:w="2428" w:type="dxa"/>
            <w:tcMar>
              <w:top w:w="0" w:type="dxa"/>
              <w:left w:w="0" w:type="dxa"/>
              <w:bottom w:w="0" w:type="dxa"/>
              <w:right w:w="0" w:type="dxa"/>
            </w:tcMar>
            <w:vAlign w:val="center"/>
          </w:tcPr>
          <w:p w14:paraId="7B5C9DA7">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1.6μm</w:t>
            </w:r>
          </w:p>
        </w:tc>
        <w:tc>
          <w:tcPr>
            <w:tcW w:w="1765" w:type="dxa"/>
            <w:tcMar>
              <w:top w:w="0" w:type="dxa"/>
              <w:left w:w="0" w:type="dxa"/>
              <w:bottom w:w="0" w:type="dxa"/>
              <w:right w:w="0" w:type="dxa"/>
            </w:tcMar>
            <w:vAlign w:val="center"/>
          </w:tcPr>
          <w:p w14:paraId="11E84AE6">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0.8μm</w:t>
            </w:r>
          </w:p>
        </w:tc>
      </w:tr>
    </w:tbl>
    <w:p w14:paraId="21463726">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接骨螺钉：</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2"/>
        <w:gridCol w:w="1764"/>
        <w:gridCol w:w="1764"/>
        <w:gridCol w:w="1765"/>
      </w:tblGrid>
      <w:tr w14:paraId="512A3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22" w:type="dxa"/>
            <w:shd w:val="clear" w:color="auto" w:fill="E7E6E6"/>
            <w:tcMar>
              <w:top w:w="0" w:type="dxa"/>
              <w:left w:w="0" w:type="dxa"/>
              <w:bottom w:w="0" w:type="dxa"/>
              <w:right w:w="0" w:type="dxa"/>
            </w:tcMar>
            <w:vAlign w:val="center"/>
          </w:tcPr>
          <w:p w14:paraId="6B27BBD3">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材料类型</w:t>
            </w:r>
          </w:p>
        </w:tc>
        <w:tc>
          <w:tcPr>
            <w:tcW w:w="1764" w:type="dxa"/>
            <w:shd w:val="clear" w:color="auto" w:fill="E7E6E6"/>
            <w:tcMar>
              <w:top w:w="0" w:type="dxa"/>
              <w:left w:w="0" w:type="dxa"/>
              <w:bottom w:w="0" w:type="dxa"/>
              <w:right w:w="0" w:type="dxa"/>
            </w:tcMar>
            <w:vAlign w:val="center"/>
          </w:tcPr>
          <w:p w14:paraId="2CE0F125">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钉头外表面</w:t>
            </w:r>
          </w:p>
        </w:tc>
        <w:tc>
          <w:tcPr>
            <w:tcW w:w="1764" w:type="dxa"/>
            <w:shd w:val="clear" w:color="auto" w:fill="E7E6E6"/>
            <w:tcMar>
              <w:top w:w="0" w:type="dxa"/>
              <w:left w:w="0" w:type="dxa"/>
              <w:bottom w:w="0" w:type="dxa"/>
              <w:right w:w="0" w:type="dxa"/>
            </w:tcMar>
            <w:vAlign w:val="center"/>
          </w:tcPr>
          <w:p w14:paraId="41E59B10">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螺纹</w:t>
            </w:r>
          </w:p>
        </w:tc>
        <w:tc>
          <w:tcPr>
            <w:tcW w:w="1765" w:type="dxa"/>
            <w:shd w:val="clear" w:color="auto" w:fill="E7E6E6"/>
            <w:tcMar>
              <w:top w:w="0" w:type="dxa"/>
              <w:left w:w="0" w:type="dxa"/>
              <w:bottom w:w="0" w:type="dxa"/>
              <w:right w:w="0" w:type="dxa"/>
            </w:tcMar>
            <w:vAlign w:val="center"/>
          </w:tcPr>
          <w:p w14:paraId="24BD6E08">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其余</w:t>
            </w:r>
          </w:p>
        </w:tc>
      </w:tr>
      <w:tr w14:paraId="48AEA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22" w:type="dxa"/>
            <w:tcMar>
              <w:top w:w="0" w:type="dxa"/>
              <w:left w:w="0" w:type="dxa"/>
              <w:bottom w:w="0" w:type="dxa"/>
              <w:right w:w="0" w:type="dxa"/>
            </w:tcMar>
            <w:vAlign w:val="center"/>
          </w:tcPr>
          <w:p w14:paraId="79AA42C0">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不锈钢</w:t>
            </w:r>
          </w:p>
        </w:tc>
        <w:tc>
          <w:tcPr>
            <w:tcW w:w="1764" w:type="dxa"/>
            <w:tcMar>
              <w:top w:w="0" w:type="dxa"/>
              <w:left w:w="0" w:type="dxa"/>
              <w:bottom w:w="0" w:type="dxa"/>
              <w:right w:w="0" w:type="dxa"/>
            </w:tcMar>
            <w:vAlign w:val="center"/>
          </w:tcPr>
          <w:p w14:paraId="5878B5AC">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0.4μm</w:t>
            </w:r>
          </w:p>
        </w:tc>
        <w:tc>
          <w:tcPr>
            <w:tcW w:w="1764" w:type="dxa"/>
            <w:tcMar>
              <w:top w:w="0" w:type="dxa"/>
              <w:left w:w="0" w:type="dxa"/>
              <w:bottom w:w="0" w:type="dxa"/>
              <w:right w:w="0" w:type="dxa"/>
            </w:tcMar>
            <w:vAlign w:val="center"/>
          </w:tcPr>
          <w:p w14:paraId="382D9D0D">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3.2μm</w:t>
            </w:r>
          </w:p>
        </w:tc>
        <w:tc>
          <w:tcPr>
            <w:tcW w:w="1765" w:type="dxa"/>
            <w:tcMar>
              <w:top w:w="0" w:type="dxa"/>
              <w:left w:w="0" w:type="dxa"/>
              <w:bottom w:w="0" w:type="dxa"/>
              <w:right w:w="0" w:type="dxa"/>
            </w:tcMar>
            <w:vAlign w:val="center"/>
          </w:tcPr>
          <w:p w14:paraId="206F97B6">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1.6μm</w:t>
            </w:r>
          </w:p>
        </w:tc>
      </w:tr>
      <w:tr w14:paraId="3EFB1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122" w:type="dxa"/>
            <w:tcMar>
              <w:top w:w="0" w:type="dxa"/>
              <w:left w:w="0" w:type="dxa"/>
              <w:bottom w:w="0" w:type="dxa"/>
              <w:right w:w="0" w:type="dxa"/>
            </w:tcMar>
            <w:vAlign w:val="center"/>
          </w:tcPr>
          <w:p w14:paraId="3738C034">
            <w:pPr>
              <w:widowControl w:val="0"/>
              <w:kinsoku/>
              <w:autoSpaceDE/>
              <w:autoSpaceDN/>
              <w:adjustRightInd/>
              <w:snapToGrid/>
              <w:spacing w:line="520" w:lineRule="exact"/>
              <w:jc w:val="center"/>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钛合金</w:t>
            </w:r>
          </w:p>
        </w:tc>
        <w:tc>
          <w:tcPr>
            <w:tcW w:w="1764" w:type="dxa"/>
            <w:tcMar>
              <w:top w:w="0" w:type="dxa"/>
              <w:left w:w="0" w:type="dxa"/>
              <w:bottom w:w="0" w:type="dxa"/>
              <w:right w:w="0" w:type="dxa"/>
            </w:tcMar>
            <w:vAlign w:val="center"/>
          </w:tcPr>
          <w:p w14:paraId="3492AE30">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0.8μm</w:t>
            </w:r>
          </w:p>
        </w:tc>
        <w:tc>
          <w:tcPr>
            <w:tcW w:w="1764" w:type="dxa"/>
            <w:tcMar>
              <w:top w:w="0" w:type="dxa"/>
              <w:left w:w="0" w:type="dxa"/>
              <w:bottom w:w="0" w:type="dxa"/>
              <w:right w:w="0" w:type="dxa"/>
            </w:tcMar>
            <w:vAlign w:val="center"/>
          </w:tcPr>
          <w:p w14:paraId="066138C7">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3.2μm</w:t>
            </w:r>
          </w:p>
        </w:tc>
        <w:tc>
          <w:tcPr>
            <w:tcW w:w="1765" w:type="dxa"/>
            <w:tcMar>
              <w:top w:w="0" w:type="dxa"/>
              <w:left w:w="0" w:type="dxa"/>
              <w:bottom w:w="0" w:type="dxa"/>
              <w:right w:w="0" w:type="dxa"/>
            </w:tcMar>
            <w:vAlign w:val="center"/>
          </w:tcPr>
          <w:p w14:paraId="61D1254D">
            <w:pPr>
              <w:widowControl w:val="0"/>
              <w:kinsoku/>
              <w:autoSpaceDE/>
              <w:autoSpaceDN/>
              <w:adjustRightInd/>
              <w:snapToGrid/>
              <w:spacing w:line="520" w:lineRule="exact"/>
              <w:jc w:val="center"/>
              <w:textAlignment w:val="auto"/>
              <w:rPr>
                <w:rFonts w:ascii="Times New Roman" w:hAnsi="Times New Roman" w:eastAsia="宋体" w:cs="Times New Roman"/>
                <w:snapToGrid/>
                <w:color w:val="auto"/>
                <w:kern w:val="2"/>
                <w:sz w:val="28"/>
                <w:szCs w:val="28"/>
              </w:rPr>
            </w:pPr>
            <w:r>
              <w:rPr>
                <w:rFonts w:ascii="Times New Roman" w:hAnsi="Times New Roman" w:eastAsia="宋体" w:cs="Times New Roman"/>
                <w:snapToGrid/>
                <w:color w:val="auto"/>
                <w:kern w:val="2"/>
                <w:sz w:val="28"/>
                <w:szCs w:val="28"/>
              </w:rPr>
              <w:t>1.6μm</w:t>
            </w:r>
          </w:p>
        </w:tc>
      </w:tr>
    </w:tbl>
    <w:p w14:paraId="3B0FC01F">
      <w:pPr>
        <w:widowControl w:val="0"/>
        <w:kinsoku/>
        <w:autoSpaceDE/>
        <w:autoSpaceDN/>
        <w:adjustRightInd/>
        <w:snapToGrid/>
        <w:spacing w:line="520" w:lineRule="exact"/>
        <w:ind w:firstLine="439" w:firstLineChars="157"/>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注：</w:t>
      </w:r>
    </w:p>
    <w:p w14:paraId="788487DC">
      <w:pPr>
        <w:widowControl w:val="0"/>
        <w:numPr>
          <w:ilvl w:val="0"/>
          <w:numId w:val="4"/>
        </w:numPr>
        <w:spacing w:line="520" w:lineRule="exact"/>
        <w:ind w:left="20" w:firstLine="420" w:firstLineChars="15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特殊表面处理（如喷砂）的接骨板（或接骨螺钉）的表面粗糙度可由企业根据临床需要制定相关要求。</w:t>
      </w:r>
    </w:p>
    <w:p w14:paraId="6B96BA42">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6.耐腐蚀性能（如适用）</w:t>
      </w:r>
    </w:p>
    <w:p w14:paraId="0EAA769B">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不锈钢材质的产品，最终产品表面的点蚀电位值应不低于800mV。</w:t>
      </w:r>
    </w:p>
    <w:p w14:paraId="4EB1E262">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7.表面处理</w:t>
      </w:r>
    </w:p>
    <w:p w14:paraId="282ED704">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产品经阳极氧化表面处理后，应对产品进行表面元素定性分析及细胞毒性评价。</w:t>
      </w:r>
    </w:p>
    <w:p w14:paraId="249EC006">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8.材料</w:t>
      </w:r>
    </w:p>
    <w:p w14:paraId="49151224">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不锈钢：优先选用符合</w:t>
      </w:r>
      <w:r>
        <w:rPr>
          <w:rFonts w:ascii="宋体" w:hAnsi="宋体" w:eastAsia="宋体" w:cs="宋体"/>
          <w:snapToGrid/>
          <w:color w:val="auto"/>
          <w:kern w:val="2"/>
          <w:sz w:val="28"/>
          <w:szCs w:val="28"/>
        </w:rPr>
        <w:t>GB 4234</w:t>
      </w:r>
      <w:r>
        <w:rPr>
          <w:rFonts w:hint="eastAsia" w:ascii="宋体" w:hAnsi="宋体" w:eastAsia="宋体" w:cs="宋体"/>
          <w:snapToGrid/>
          <w:color w:val="auto"/>
          <w:kern w:val="2"/>
          <w:sz w:val="28"/>
          <w:szCs w:val="28"/>
        </w:rPr>
        <w:t>系列或</w:t>
      </w:r>
      <w:r>
        <w:rPr>
          <w:rFonts w:ascii="宋体" w:hAnsi="宋体" w:eastAsia="宋体" w:cs="宋体"/>
          <w:snapToGrid/>
          <w:color w:val="auto"/>
          <w:kern w:val="2"/>
          <w:sz w:val="28"/>
          <w:szCs w:val="28"/>
        </w:rPr>
        <w:t>YY 0605.9</w:t>
      </w:r>
      <w:r>
        <w:rPr>
          <w:rFonts w:hint="eastAsia" w:ascii="宋体" w:hAnsi="宋体" w:eastAsia="宋体" w:cs="宋体"/>
          <w:snapToGrid/>
          <w:color w:val="auto"/>
          <w:kern w:val="2"/>
          <w:sz w:val="28"/>
          <w:szCs w:val="28"/>
        </w:rPr>
        <w:t>规定的材料。</w:t>
      </w:r>
    </w:p>
    <w:p w14:paraId="49818BBE">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钛、钛合金：优先选用符合</w:t>
      </w:r>
      <w:r>
        <w:rPr>
          <w:rFonts w:ascii="宋体" w:hAnsi="宋体" w:eastAsia="宋体" w:cs="宋体"/>
          <w:snapToGrid/>
          <w:color w:val="auto"/>
          <w:kern w:val="2"/>
          <w:sz w:val="28"/>
          <w:szCs w:val="28"/>
        </w:rPr>
        <w:t>GB/T 13810</w:t>
      </w:r>
      <w:r>
        <w:rPr>
          <w:rFonts w:hint="eastAsia" w:ascii="宋体" w:hAnsi="宋体" w:eastAsia="宋体" w:cs="宋体"/>
          <w:snapToGrid/>
          <w:color w:val="auto"/>
          <w:kern w:val="2"/>
          <w:sz w:val="28"/>
          <w:szCs w:val="28"/>
        </w:rPr>
        <w:t>或</w:t>
      </w:r>
      <w:r>
        <w:rPr>
          <w:rFonts w:ascii="宋体" w:hAnsi="宋体" w:eastAsia="宋体" w:cs="宋体"/>
          <w:snapToGrid/>
          <w:color w:val="auto"/>
          <w:kern w:val="2"/>
          <w:sz w:val="28"/>
          <w:szCs w:val="28"/>
        </w:rPr>
        <w:t>GB 23102</w:t>
      </w:r>
      <w:r>
        <w:rPr>
          <w:rFonts w:hint="eastAsia" w:ascii="宋体" w:hAnsi="宋体" w:eastAsia="宋体" w:cs="宋体"/>
          <w:snapToGrid/>
          <w:color w:val="auto"/>
          <w:kern w:val="2"/>
          <w:sz w:val="28"/>
          <w:szCs w:val="28"/>
        </w:rPr>
        <w:t>规定的材料。</w:t>
      </w:r>
    </w:p>
    <w:p w14:paraId="54DD42F3">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化学成分和显微组织应在最终产品上取样。</w:t>
      </w:r>
    </w:p>
    <w:p w14:paraId="39D29094">
      <w:pPr>
        <w:widowControl w:val="0"/>
        <w:numPr>
          <w:ilvl w:val="255"/>
          <w:numId w:val="0"/>
        </w:numPr>
        <w:spacing w:line="520" w:lineRule="exact"/>
        <w:ind w:left="420" w:leftChars="200" w:firstLine="560" w:firstLineChars="20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 xml:space="preserve">9.弯曲强度和等效弯曲刚度（接骨板适用） </w:t>
      </w:r>
    </w:p>
    <w:p w14:paraId="53A5B56F">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企业应对接骨板弯曲强度和等效弯曲刚度进行规定。</w:t>
      </w:r>
    </w:p>
    <w:p w14:paraId="3F2CE592">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10</w:t>
      </w:r>
      <w:r>
        <w:rPr>
          <w:rFonts w:hint="eastAsia" w:ascii="宋体" w:hAnsi="宋体" w:eastAsia="宋体" w:cs="宋体"/>
          <w:color w:val="auto"/>
          <w:kern w:val="2"/>
          <w:sz w:val="28"/>
          <w:szCs w:val="28"/>
          <w:lang w:val="en-US" w:eastAsia="zh-CN" w:bidi="ar-SA"/>
        </w:rPr>
        <w:t>.</w:t>
      </w:r>
      <w:r>
        <w:rPr>
          <w:rFonts w:hint="eastAsia" w:ascii="宋体" w:hAnsi="宋体" w:eastAsia="宋体" w:cs="Times New Roman"/>
          <w:color w:val="auto"/>
          <w:kern w:val="2"/>
          <w:sz w:val="28"/>
          <w:szCs w:val="28"/>
          <w:lang w:val="en-US" w:eastAsia="zh-CN" w:bidi="ar-SA"/>
        </w:rPr>
        <w:t>疲劳性能（接骨板适用）</w:t>
      </w:r>
    </w:p>
    <w:p w14:paraId="3A569130">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企业应对接骨板在</w:t>
      </w:r>
      <w:r>
        <w:rPr>
          <w:rFonts w:ascii="宋体" w:hAnsi="宋体" w:eastAsia="宋体" w:cs="宋体"/>
          <w:snapToGrid/>
          <w:color w:val="auto"/>
          <w:kern w:val="2"/>
          <w:sz w:val="28"/>
          <w:szCs w:val="28"/>
        </w:rPr>
        <w:t>10</w:t>
      </w:r>
      <w:r>
        <w:rPr>
          <w:rFonts w:ascii="宋体" w:hAnsi="宋体" w:eastAsia="宋体" w:cs="宋体"/>
          <w:snapToGrid/>
          <w:color w:val="auto"/>
          <w:kern w:val="2"/>
          <w:sz w:val="28"/>
          <w:szCs w:val="28"/>
          <w:vertAlign w:val="superscript"/>
        </w:rPr>
        <w:t>6</w:t>
      </w:r>
      <w:r>
        <w:rPr>
          <w:rFonts w:hint="eastAsia" w:ascii="宋体" w:hAnsi="宋体" w:eastAsia="宋体" w:cs="宋体"/>
          <w:snapToGrid/>
          <w:color w:val="auto"/>
          <w:kern w:val="2"/>
          <w:sz w:val="28"/>
          <w:szCs w:val="28"/>
        </w:rPr>
        <w:t>周期载荷条件下的疲劳强度进行规定。</w:t>
      </w:r>
    </w:p>
    <w:p w14:paraId="0CABF8D5">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11.最大扭矩和断裂扭转角（接骨螺钉适用）</w:t>
      </w:r>
    </w:p>
    <w:p w14:paraId="714B85B5">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选用</w:t>
      </w:r>
      <w:r>
        <w:rPr>
          <w:rFonts w:ascii="宋体" w:hAnsi="宋体" w:eastAsia="宋体" w:cs="宋体"/>
          <w:snapToGrid/>
          <w:color w:val="auto"/>
          <w:kern w:val="2"/>
          <w:sz w:val="28"/>
          <w:szCs w:val="28"/>
        </w:rPr>
        <w:t>GB 4234</w:t>
      </w:r>
      <w:r>
        <w:rPr>
          <w:rFonts w:hint="eastAsia" w:ascii="宋体" w:hAnsi="宋体" w:eastAsia="宋体" w:cs="宋体"/>
          <w:snapToGrid/>
          <w:color w:val="auto"/>
          <w:kern w:val="2"/>
          <w:sz w:val="28"/>
          <w:szCs w:val="28"/>
        </w:rPr>
        <w:t>中规定的不锈钢材料制造的不同螺纹型式和标称直径的球形下表面接骨螺钉，最大扭矩和断裂扭转角应符合</w:t>
      </w:r>
      <w:r>
        <w:rPr>
          <w:rFonts w:ascii="宋体" w:hAnsi="宋体" w:eastAsia="宋体" w:cs="宋体"/>
          <w:snapToGrid/>
          <w:color w:val="auto"/>
          <w:kern w:val="2"/>
          <w:sz w:val="28"/>
          <w:szCs w:val="28"/>
        </w:rPr>
        <w:t>YY 0018-2016</w:t>
      </w:r>
      <w:r>
        <w:rPr>
          <w:rFonts w:hint="eastAsia" w:ascii="宋体" w:hAnsi="宋体" w:eastAsia="宋体" w:cs="宋体"/>
          <w:snapToGrid/>
          <w:color w:val="auto"/>
          <w:kern w:val="2"/>
          <w:sz w:val="28"/>
          <w:szCs w:val="28"/>
        </w:rPr>
        <w:t>中表</w:t>
      </w:r>
      <w:r>
        <w:rPr>
          <w:rFonts w:ascii="宋体" w:hAnsi="宋体" w:eastAsia="宋体" w:cs="宋体"/>
          <w:snapToGrid/>
          <w:color w:val="auto"/>
          <w:kern w:val="2"/>
          <w:sz w:val="28"/>
          <w:szCs w:val="28"/>
        </w:rPr>
        <w:t>11</w:t>
      </w:r>
      <w:r>
        <w:rPr>
          <w:rFonts w:hint="eastAsia" w:ascii="宋体" w:hAnsi="宋体" w:eastAsia="宋体" w:cs="宋体"/>
          <w:snapToGrid/>
          <w:color w:val="auto"/>
          <w:kern w:val="2"/>
          <w:sz w:val="28"/>
          <w:szCs w:val="28"/>
        </w:rPr>
        <w:t>的规定，其试验样品数量不应少于</w:t>
      </w:r>
      <w:r>
        <w:rPr>
          <w:rFonts w:ascii="宋体" w:hAnsi="宋体" w:eastAsia="宋体" w:cs="宋体"/>
          <w:snapToGrid/>
          <w:color w:val="auto"/>
          <w:kern w:val="2"/>
          <w:sz w:val="28"/>
          <w:szCs w:val="28"/>
        </w:rPr>
        <w:t>5</w:t>
      </w:r>
      <w:r>
        <w:rPr>
          <w:rFonts w:hint="eastAsia" w:ascii="宋体" w:hAnsi="宋体" w:eastAsia="宋体" w:cs="宋体"/>
          <w:snapToGrid/>
          <w:color w:val="auto"/>
          <w:kern w:val="2"/>
          <w:sz w:val="28"/>
          <w:szCs w:val="28"/>
        </w:rPr>
        <w:t>件；</w:t>
      </w:r>
    </w:p>
    <w:p w14:paraId="0AACE891">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企业应对其他接骨螺钉最大扭矩和断裂扭转角进行规定。</w:t>
      </w:r>
    </w:p>
    <w:p w14:paraId="74A6254D">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12.轴向拔出力（接骨螺钉适用）</w:t>
      </w:r>
    </w:p>
    <w:p w14:paraId="08C72402">
      <w:pPr>
        <w:widowControl w:val="0"/>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企业应对接骨螺钉的轴向拔出力进行规定。</w:t>
      </w:r>
    </w:p>
    <w:p w14:paraId="7D4D731B">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13.旋入扭矩和旋出扭矩（接骨螺钉适用）</w:t>
      </w:r>
    </w:p>
    <w:p w14:paraId="2D343998">
      <w:pPr>
        <w:widowControl w:val="0"/>
        <w:spacing w:line="520" w:lineRule="exact"/>
        <w:ind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企业应对接骨螺钉的旋入扭矩和旋出扭矩进行规定。</w:t>
      </w:r>
    </w:p>
    <w:p w14:paraId="273C5D8D">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14.自攻性能（自攻接骨螺钉适用）</w:t>
      </w:r>
    </w:p>
    <w:p w14:paraId="5C89E74E">
      <w:pPr>
        <w:widowControl w:val="0"/>
        <w:spacing w:line="520" w:lineRule="exact"/>
        <w:ind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企业应对自攻螺钉的自攻性能进行规定。</w:t>
      </w:r>
    </w:p>
    <w:p w14:paraId="3C9459B4">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15.配合性能</w:t>
      </w:r>
    </w:p>
    <w:p w14:paraId="04F0B1CA">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企业应对需要配合使用的骨接合植入物的配合性能进行规定。</w:t>
      </w:r>
    </w:p>
    <w:p w14:paraId="78BEFBD6">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16.环氧乙烷残留（若适用）</w:t>
      </w:r>
    </w:p>
    <w:p w14:paraId="31166309">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环氧乙烷残留应符合要求。</w:t>
      </w:r>
    </w:p>
    <w:p w14:paraId="748B4284">
      <w:pPr>
        <w:widowControl w:val="0"/>
        <w:numPr>
          <w:ilvl w:val="255"/>
          <w:numId w:val="0"/>
        </w:numPr>
        <w:spacing w:line="520" w:lineRule="exact"/>
        <w:ind w:left="420" w:leftChars="200"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17.无菌（若适用）</w:t>
      </w:r>
    </w:p>
    <w:p w14:paraId="48C32D0D">
      <w:pPr>
        <w:widowControl w:val="0"/>
        <w:spacing w:line="520" w:lineRule="exact"/>
        <w:ind w:firstLine="560" w:firstLineChars="200"/>
        <w:jc w:val="both"/>
        <w:rPr>
          <w:rFonts w:ascii="宋体" w:hAnsi="宋体" w:eastAsia="宋体" w:cs="Times New Roman"/>
          <w:color w:val="auto"/>
          <w:kern w:val="2"/>
          <w:sz w:val="28"/>
          <w:szCs w:val="28"/>
          <w:lang w:val="en-US" w:eastAsia="zh-CN" w:bidi="ar-SA"/>
        </w:rPr>
      </w:pPr>
      <w:r>
        <w:rPr>
          <w:rFonts w:hint="eastAsia" w:ascii="宋体" w:hAnsi="宋体" w:eastAsia="宋体" w:cs="Times New Roman"/>
          <w:color w:val="auto"/>
          <w:kern w:val="2"/>
          <w:sz w:val="28"/>
          <w:szCs w:val="28"/>
          <w:lang w:val="en-US" w:eastAsia="zh-CN" w:bidi="ar-SA"/>
        </w:rPr>
        <w:t>产品应无菌。</w:t>
      </w:r>
    </w:p>
    <w:p w14:paraId="6F8CA3B8">
      <w:pPr>
        <w:widowControl w:val="0"/>
        <w:kinsoku/>
        <w:autoSpaceDE/>
        <w:autoSpaceDN/>
        <w:adjustRightInd/>
        <w:snapToGrid/>
        <w:spacing w:line="520" w:lineRule="exact"/>
        <w:ind w:left="560"/>
        <w:jc w:val="both"/>
        <w:textAlignment w:val="auto"/>
        <w:rPr>
          <w:rFonts w:ascii="黑体" w:hAnsi="黑体" w:eastAsia="黑体" w:cs="黑体"/>
          <w:snapToGrid/>
          <w:color w:val="auto"/>
          <w:kern w:val="2"/>
          <w:sz w:val="28"/>
          <w:szCs w:val="28"/>
        </w:rPr>
      </w:pPr>
      <w:r>
        <w:rPr>
          <w:rFonts w:hint="eastAsia" w:ascii="黑体" w:hAnsi="黑体" w:eastAsia="黑体" w:cs="黑体"/>
          <w:snapToGrid/>
          <w:color w:val="auto"/>
          <w:kern w:val="2"/>
          <w:sz w:val="28"/>
          <w:szCs w:val="28"/>
        </w:rPr>
        <w:t>五、检验项目及方法</w:t>
      </w:r>
    </w:p>
    <w:p w14:paraId="3DD1EA99">
      <w:pPr>
        <w:widowControl w:val="0"/>
        <w:numPr>
          <w:ilvl w:val="255"/>
          <w:numId w:val="0"/>
        </w:numPr>
        <w:kinsoku/>
        <w:autoSpaceDE/>
        <w:autoSpaceDN/>
        <w:adjustRightInd/>
        <w:snapToGrid/>
        <w:spacing w:line="520" w:lineRule="exact"/>
        <w:ind w:firstLine="560" w:firstLineChars="200"/>
        <w:jc w:val="both"/>
        <w:textAlignment w:val="auto"/>
        <w:rPr>
          <w:rFonts w:hint="eastAsia"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企业应严格按照经批准的技术要求组织生产，制定进货检验规程、过程规程和成品检验规程。</w:t>
      </w:r>
      <w:r>
        <w:rPr>
          <w:rFonts w:hint="eastAsia" w:ascii="宋体" w:hAnsi="宋体" w:eastAsia="宋体" w:cs="宋体"/>
          <w:snapToGrid/>
          <w:color w:val="auto"/>
          <w:kern w:val="2"/>
          <w:sz w:val="28"/>
          <w:szCs w:val="28"/>
          <w:lang w:eastAsia="zh-CN"/>
        </w:rPr>
        <w:t>检验规程应当覆盖产品技术要求载明的性能指标，不能覆盖的应当予以说明，必要时给出经确认的替代解决方案。</w:t>
      </w:r>
    </w:p>
    <w:p w14:paraId="6795DB41">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按照</w:t>
      </w:r>
      <w:r>
        <w:rPr>
          <w:rFonts w:hint="eastAsia" w:ascii="宋体" w:hAnsi="宋体" w:eastAsia="宋体" w:cs="宋体"/>
          <w:snapToGrid/>
          <w:color w:val="auto"/>
          <w:kern w:val="2"/>
          <w:sz w:val="28"/>
          <w:szCs w:val="28"/>
          <w:lang w:eastAsia="zh-CN"/>
        </w:rPr>
        <w:t>金属接骨板系统产品技术要求</w:t>
      </w:r>
      <w:r>
        <w:rPr>
          <w:rFonts w:hint="eastAsia" w:ascii="宋体" w:hAnsi="宋体" w:eastAsia="宋体" w:cs="宋体"/>
          <w:snapToGrid/>
          <w:color w:val="auto"/>
          <w:kern w:val="2"/>
          <w:sz w:val="28"/>
          <w:szCs w:val="28"/>
        </w:rPr>
        <w:t>，结合产品风险，成品检验项目中至少包括：外观、尺寸、表面缺陷、表面粗糙度、最大扭矩和断裂扭转角（螺钉适用）</w:t>
      </w:r>
      <w:r>
        <w:rPr>
          <w:rFonts w:hint="eastAsia" w:ascii="宋体" w:hAnsi="宋体" w:eastAsia="宋体" w:cs="宋体"/>
          <w:snapToGrid/>
          <w:color w:val="auto"/>
          <w:kern w:val="2"/>
          <w:sz w:val="28"/>
          <w:szCs w:val="28"/>
          <w:lang w:eastAsia="zh-CN"/>
        </w:rPr>
        <w:t>，无菌、环氧乙烷残留（如适用）</w:t>
      </w:r>
      <w:r>
        <w:rPr>
          <w:rFonts w:hint="eastAsia" w:ascii="宋体" w:hAnsi="宋体" w:eastAsia="宋体" w:cs="宋体"/>
          <w:snapToGrid/>
          <w:color w:val="auto"/>
          <w:kern w:val="2"/>
          <w:sz w:val="28"/>
          <w:szCs w:val="28"/>
        </w:rPr>
        <w:t>。</w:t>
      </w:r>
    </w:p>
    <w:p w14:paraId="0D672B5E">
      <w:pPr>
        <w:widowControl w:val="0"/>
        <w:numPr>
          <w:ilvl w:val="255"/>
          <w:numId w:val="0"/>
        </w:numPr>
        <w:kinsoku/>
        <w:autoSpaceDE/>
        <w:autoSpaceDN/>
        <w:adjustRightInd/>
        <w:snapToGrid/>
        <w:spacing w:line="520" w:lineRule="exact"/>
        <w:ind w:firstLine="560" w:firstLineChars="200"/>
        <w:jc w:val="both"/>
        <w:textAlignment w:val="auto"/>
        <w:rPr>
          <w:rFonts w:ascii="宋体" w:hAnsi="宋体" w:eastAsia="宋体" w:cs="宋体"/>
          <w:snapToGrid/>
          <w:color w:val="auto"/>
          <w:kern w:val="2"/>
          <w:sz w:val="28"/>
          <w:szCs w:val="28"/>
        </w:rPr>
      </w:pPr>
      <w:r>
        <w:rPr>
          <w:rFonts w:hint="eastAsia" w:ascii="宋体" w:hAnsi="宋体" w:eastAsia="宋体" w:cs="宋体"/>
          <w:snapToGrid/>
          <w:color w:val="auto"/>
          <w:kern w:val="2"/>
          <w:sz w:val="28"/>
          <w:szCs w:val="28"/>
        </w:rPr>
        <w:t>详见附件1。</w:t>
      </w:r>
    </w:p>
    <w:p w14:paraId="1659D609">
      <w:pPr>
        <w:widowControl w:val="0"/>
        <w:kinsoku/>
        <w:autoSpaceDE/>
        <w:autoSpaceDN/>
        <w:adjustRightInd/>
        <w:snapToGrid/>
        <w:spacing w:line="520" w:lineRule="exact"/>
        <w:ind w:left="560"/>
        <w:jc w:val="both"/>
        <w:textAlignment w:val="auto"/>
        <w:rPr>
          <w:rFonts w:ascii="黑体" w:hAnsi="黑体" w:eastAsia="黑体" w:cs="黑体"/>
          <w:snapToGrid/>
          <w:color w:val="auto"/>
          <w:kern w:val="2"/>
          <w:sz w:val="28"/>
          <w:szCs w:val="28"/>
        </w:rPr>
      </w:pPr>
      <w:r>
        <w:rPr>
          <w:rFonts w:hint="eastAsia" w:ascii="黑体" w:hAnsi="黑体" w:eastAsia="黑体" w:cs="黑体"/>
          <w:snapToGrid/>
          <w:color w:val="auto"/>
          <w:kern w:val="2"/>
          <w:sz w:val="28"/>
          <w:szCs w:val="28"/>
        </w:rPr>
        <w:t>六、检验设备</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2410"/>
        <w:gridCol w:w="5182"/>
      </w:tblGrid>
      <w:tr w14:paraId="315EA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tblHeader/>
          <w:jc w:val="center"/>
        </w:trPr>
        <w:tc>
          <w:tcPr>
            <w:tcW w:w="704" w:type="dxa"/>
            <w:shd w:val="clear" w:color="auto" w:fill="E7E6E6"/>
            <w:vAlign w:val="center"/>
          </w:tcPr>
          <w:p w14:paraId="24522A19">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序号</w:t>
            </w:r>
          </w:p>
        </w:tc>
        <w:tc>
          <w:tcPr>
            <w:tcW w:w="2410" w:type="dxa"/>
            <w:shd w:val="clear" w:color="auto" w:fill="E7E6E6"/>
            <w:vAlign w:val="center"/>
          </w:tcPr>
          <w:p w14:paraId="5CC116AF">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项目</w:t>
            </w:r>
          </w:p>
        </w:tc>
        <w:tc>
          <w:tcPr>
            <w:tcW w:w="5182" w:type="dxa"/>
            <w:shd w:val="clear" w:color="auto" w:fill="E7E6E6"/>
            <w:vAlign w:val="center"/>
          </w:tcPr>
          <w:p w14:paraId="60359A89">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设备</w:t>
            </w:r>
          </w:p>
        </w:tc>
      </w:tr>
      <w:tr w14:paraId="5442B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135EAE12">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1</w:t>
            </w:r>
          </w:p>
        </w:tc>
        <w:tc>
          <w:tcPr>
            <w:tcW w:w="2410" w:type="dxa"/>
            <w:vAlign w:val="center"/>
          </w:tcPr>
          <w:p w14:paraId="24554061">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外观</w:t>
            </w:r>
          </w:p>
        </w:tc>
        <w:tc>
          <w:tcPr>
            <w:tcW w:w="5182" w:type="dxa"/>
            <w:vAlign w:val="center"/>
          </w:tcPr>
          <w:p w14:paraId="1EB4874F">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目测</w:t>
            </w:r>
          </w:p>
        </w:tc>
      </w:tr>
      <w:tr w14:paraId="65A5F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755812AE">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2</w:t>
            </w:r>
          </w:p>
        </w:tc>
        <w:tc>
          <w:tcPr>
            <w:tcW w:w="2410" w:type="dxa"/>
            <w:vAlign w:val="center"/>
          </w:tcPr>
          <w:p w14:paraId="7AF4E132">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尺寸</w:t>
            </w:r>
          </w:p>
        </w:tc>
        <w:tc>
          <w:tcPr>
            <w:tcW w:w="5182" w:type="dxa"/>
            <w:vAlign w:val="center"/>
          </w:tcPr>
          <w:p w14:paraId="6F8A5C77">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卡尺</w:t>
            </w:r>
            <w:r>
              <w:rPr>
                <w:rFonts w:hint="eastAsia" w:ascii="宋体" w:hAnsi="宋体" w:eastAsia="宋体" w:cs="宋体"/>
                <w:snapToGrid/>
                <w:color w:val="auto"/>
                <w:kern w:val="2"/>
                <w:szCs w:val="21"/>
                <w:vertAlign w:val="superscript"/>
              </w:rPr>
              <w:t>*</w:t>
            </w:r>
            <w:r>
              <w:rPr>
                <w:rFonts w:hint="eastAsia" w:ascii="宋体" w:hAnsi="宋体" w:eastAsia="宋体" w:cs="Arial"/>
                <w:snapToGrid/>
                <w:color w:val="auto"/>
                <w:kern w:val="2"/>
                <w:szCs w:val="21"/>
              </w:rPr>
              <w:t>、千分尺</w:t>
            </w:r>
            <w:r>
              <w:rPr>
                <w:rFonts w:hint="eastAsia" w:ascii="宋体" w:hAnsi="宋体" w:eastAsia="宋体" w:cs="宋体"/>
                <w:snapToGrid/>
                <w:color w:val="auto"/>
                <w:kern w:val="2"/>
                <w:szCs w:val="21"/>
                <w:vertAlign w:val="superscript"/>
              </w:rPr>
              <w:t>*</w:t>
            </w:r>
            <w:r>
              <w:rPr>
                <w:rFonts w:hint="eastAsia" w:ascii="宋体" w:hAnsi="宋体" w:eastAsia="宋体" w:cs="Arial"/>
                <w:snapToGrid/>
                <w:color w:val="auto"/>
                <w:kern w:val="2"/>
                <w:szCs w:val="21"/>
              </w:rPr>
              <w:t>、影像测量仪</w:t>
            </w:r>
            <w:r>
              <w:rPr>
                <w:rFonts w:hint="eastAsia" w:ascii="宋体" w:hAnsi="宋体" w:eastAsia="宋体" w:cs="宋体"/>
                <w:snapToGrid/>
                <w:color w:val="auto"/>
                <w:kern w:val="2"/>
                <w:szCs w:val="21"/>
                <w:vertAlign w:val="superscript"/>
              </w:rPr>
              <w:t>*</w:t>
            </w:r>
            <w:r>
              <w:rPr>
                <w:rFonts w:hint="eastAsia" w:ascii="宋体" w:hAnsi="宋体" w:eastAsia="宋体" w:cs="Arial"/>
                <w:snapToGrid/>
                <w:color w:val="auto"/>
                <w:kern w:val="2"/>
                <w:szCs w:val="21"/>
              </w:rPr>
              <w:t>、钢直尺</w:t>
            </w:r>
            <w:r>
              <w:rPr>
                <w:rFonts w:hint="eastAsia" w:ascii="宋体" w:hAnsi="宋体" w:eastAsia="宋体" w:cs="宋体"/>
                <w:snapToGrid/>
                <w:color w:val="auto"/>
                <w:kern w:val="2"/>
                <w:szCs w:val="21"/>
                <w:vertAlign w:val="superscript"/>
              </w:rPr>
              <w:t>*</w:t>
            </w:r>
            <w:r>
              <w:rPr>
                <w:rFonts w:hint="eastAsia" w:ascii="宋体" w:hAnsi="宋体" w:eastAsia="宋体" w:cs="Arial"/>
                <w:snapToGrid/>
                <w:color w:val="auto"/>
                <w:kern w:val="2"/>
                <w:szCs w:val="21"/>
              </w:rPr>
              <w:t>等</w:t>
            </w:r>
          </w:p>
        </w:tc>
      </w:tr>
      <w:tr w14:paraId="0E28F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1150E893">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3</w:t>
            </w:r>
          </w:p>
        </w:tc>
        <w:tc>
          <w:tcPr>
            <w:tcW w:w="2410" w:type="dxa"/>
            <w:vAlign w:val="center"/>
          </w:tcPr>
          <w:p w14:paraId="512CBE94">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硬度</w:t>
            </w:r>
          </w:p>
        </w:tc>
        <w:tc>
          <w:tcPr>
            <w:tcW w:w="5182" w:type="dxa"/>
            <w:vAlign w:val="center"/>
          </w:tcPr>
          <w:p w14:paraId="5071020C">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维氏硬度计</w:t>
            </w:r>
            <w:r>
              <w:rPr>
                <w:rFonts w:hint="eastAsia" w:ascii="宋体" w:hAnsi="宋体" w:eastAsia="宋体" w:cs="宋体"/>
                <w:snapToGrid/>
                <w:color w:val="auto"/>
                <w:kern w:val="2"/>
                <w:szCs w:val="21"/>
                <w:vertAlign w:val="superscript"/>
              </w:rPr>
              <w:t>*</w:t>
            </w:r>
          </w:p>
        </w:tc>
      </w:tr>
      <w:tr w14:paraId="44D11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43EDC146">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4</w:t>
            </w:r>
          </w:p>
        </w:tc>
        <w:tc>
          <w:tcPr>
            <w:tcW w:w="2410" w:type="dxa"/>
            <w:vAlign w:val="center"/>
          </w:tcPr>
          <w:p w14:paraId="2CBE3957">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表面缺陷</w:t>
            </w:r>
          </w:p>
        </w:tc>
        <w:tc>
          <w:tcPr>
            <w:tcW w:w="5182" w:type="dxa"/>
            <w:vAlign w:val="center"/>
          </w:tcPr>
          <w:p w14:paraId="29C27159">
            <w:pPr>
              <w:widowControl w:val="0"/>
              <w:kinsoku/>
              <w:autoSpaceDE/>
              <w:autoSpaceDN/>
              <w:adjustRightInd/>
              <w:snapToGrid/>
              <w:spacing w:line="240" w:lineRule="auto"/>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暗室；荧光渗透剂、黑光灯、黑光辐照度计</w:t>
            </w:r>
          </w:p>
        </w:tc>
      </w:tr>
      <w:tr w14:paraId="6EEAA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179FE313">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5</w:t>
            </w:r>
          </w:p>
        </w:tc>
        <w:tc>
          <w:tcPr>
            <w:tcW w:w="2410" w:type="dxa"/>
            <w:vAlign w:val="center"/>
          </w:tcPr>
          <w:p w14:paraId="0BE50798">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表面粗糙度</w:t>
            </w:r>
          </w:p>
        </w:tc>
        <w:tc>
          <w:tcPr>
            <w:tcW w:w="5182" w:type="dxa"/>
            <w:vAlign w:val="center"/>
          </w:tcPr>
          <w:p w14:paraId="3492165D">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粗糙度测量仪、比较样块</w:t>
            </w:r>
            <w:r>
              <w:rPr>
                <w:rFonts w:hint="eastAsia" w:ascii="宋体" w:hAnsi="宋体" w:eastAsia="宋体" w:cs="宋体"/>
                <w:snapToGrid/>
                <w:color w:val="auto"/>
                <w:kern w:val="2"/>
                <w:szCs w:val="21"/>
                <w:vertAlign w:val="superscript"/>
              </w:rPr>
              <w:t>*</w:t>
            </w:r>
          </w:p>
        </w:tc>
      </w:tr>
      <w:tr w14:paraId="58B88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27AD31AF">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6</w:t>
            </w:r>
          </w:p>
        </w:tc>
        <w:tc>
          <w:tcPr>
            <w:tcW w:w="2410" w:type="dxa"/>
            <w:vAlign w:val="center"/>
          </w:tcPr>
          <w:p w14:paraId="4F5FD9A8">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耐腐蚀性能</w:t>
            </w:r>
          </w:p>
        </w:tc>
        <w:tc>
          <w:tcPr>
            <w:tcW w:w="5182" w:type="dxa"/>
            <w:vAlign w:val="center"/>
          </w:tcPr>
          <w:p w14:paraId="39C7731A">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点蚀电位测量设备</w:t>
            </w:r>
          </w:p>
        </w:tc>
      </w:tr>
      <w:tr w14:paraId="19866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6C0622D4">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7</w:t>
            </w:r>
          </w:p>
        </w:tc>
        <w:tc>
          <w:tcPr>
            <w:tcW w:w="2410" w:type="dxa"/>
            <w:vAlign w:val="center"/>
          </w:tcPr>
          <w:p w14:paraId="363E6B58">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表面处理</w:t>
            </w:r>
          </w:p>
        </w:tc>
        <w:tc>
          <w:tcPr>
            <w:tcW w:w="5182" w:type="dxa"/>
            <w:vAlign w:val="center"/>
          </w:tcPr>
          <w:p w14:paraId="4AF9BE2A">
            <w:pPr>
              <w:widowControl w:val="0"/>
              <w:kinsoku/>
              <w:autoSpaceDE/>
              <w:autoSpaceDN/>
              <w:adjustRightInd/>
              <w:snapToGrid/>
              <w:spacing w:line="240" w:lineRule="auto"/>
              <w:ind w:left="-105" w:leftChars="-50" w:right="-105" w:rightChars="-50"/>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扫描电镜能谱仪、细胞毒性测量设备</w:t>
            </w:r>
          </w:p>
        </w:tc>
      </w:tr>
      <w:tr w14:paraId="5E8E2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78095974">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8</w:t>
            </w:r>
          </w:p>
        </w:tc>
        <w:tc>
          <w:tcPr>
            <w:tcW w:w="2410" w:type="dxa"/>
            <w:vAlign w:val="center"/>
          </w:tcPr>
          <w:p w14:paraId="739E6B18">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材料</w:t>
            </w:r>
          </w:p>
        </w:tc>
        <w:tc>
          <w:tcPr>
            <w:tcW w:w="5182" w:type="dxa"/>
            <w:vAlign w:val="center"/>
          </w:tcPr>
          <w:p w14:paraId="16510A51">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金相显微镜、化学分析相关设备</w:t>
            </w:r>
          </w:p>
        </w:tc>
      </w:tr>
      <w:tr w14:paraId="26728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01D1619D">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9</w:t>
            </w:r>
          </w:p>
        </w:tc>
        <w:tc>
          <w:tcPr>
            <w:tcW w:w="2410" w:type="dxa"/>
            <w:shd w:val="clear" w:color="auto" w:fill="auto"/>
            <w:vAlign w:val="center"/>
          </w:tcPr>
          <w:p w14:paraId="10403C37">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弯曲强度和等效弯曲刚度</w:t>
            </w:r>
          </w:p>
        </w:tc>
        <w:tc>
          <w:tcPr>
            <w:tcW w:w="5182" w:type="dxa"/>
            <w:shd w:val="clear" w:color="auto" w:fill="auto"/>
            <w:vAlign w:val="center"/>
          </w:tcPr>
          <w:p w14:paraId="7B1ED513">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拉力试验机</w:t>
            </w:r>
            <w:r>
              <w:rPr>
                <w:rFonts w:ascii="宋体" w:hAnsi="宋体" w:eastAsia="宋体" w:cs="宋体"/>
                <w:snapToGrid/>
                <w:color w:val="auto"/>
                <w:kern w:val="2"/>
                <w:szCs w:val="21"/>
                <w:vertAlign w:val="superscript"/>
              </w:rPr>
              <w:t>*</w:t>
            </w:r>
          </w:p>
        </w:tc>
      </w:tr>
      <w:tr w14:paraId="751FA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0D357189">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10</w:t>
            </w:r>
          </w:p>
        </w:tc>
        <w:tc>
          <w:tcPr>
            <w:tcW w:w="2410" w:type="dxa"/>
            <w:shd w:val="clear" w:color="auto" w:fill="auto"/>
            <w:vAlign w:val="center"/>
          </w:tcPr>
          <w:p w14:paraId="64A2B061">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疲劳性能</w:t>
            </w:r>
          </w:p>
        </w:tc>
        <w:tc>
          <w:tcPr>
            <w:tcW w:w="5182" w:type="dxa"/>
            <w:shd w:val="clear" w:color="auto" w:fill="auto"/>
            <w:vAlign w:val="center"/>
          </w:tcPr>
          <w:p w14:paraId="1ADE1D61">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疲劳试验机</w:t>
            </w:r>
          </w:p>
        </w:tc>
      </w:tr>
      <w:tr w14:paraId="25281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6DCDED6C">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11</w:t>
            </w:r>
          </w:p>
        </w:tc>
        <w:tc>
          <w:tcPr>
            <w:tcW w:w="2410" w:type="dxa"/>
            <w:shd w:val="clear" w:color="auto" w:fill="auto"/>
            <w:vAlign w:val="center"/>
          </w:tcPr>
          <w:p w14:paraId="757E7595">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bookmarkStart w:id="0" w:name="OLE_LINK8"/>
            <w:bookmarkStart w:id="1" w:name="OLE_LINK7"/>
            <w:r>
              <w:rPr>
                <w:rFonts w:hint="eastAsia" w:ascii="宋体" w:hAnsi="宋体" w:eastAsia="宋体" w:cs="Times New Roman"/>
                <w:snapToGrid/>
                <w:color w:val="auto"/>
                <w:kern w:val="2"/>
                <w:szCs w:val="21"/>
              </w:rPr>
              <w:t>最大扭矩和断裂扭转角</w:t>
            </w:r>
            <w:bookmarkEnd w:id="0"/>
            <w:bookmarkEnd w:id="1"/>
          </w:p>
        </w:tc>
        <w:tc>
          <w:tcPr>
            <w:tcW w:w="5182" w:type="dxa"/>
            <w:shd w:val="clear" w:color="auto" w:fill="auto"/>
            <w:vAlign w:val="center"/>
          </w:tcPr>
          <w:p w14:paraId="3A0D9CAE">
            <w:pPr>
              <w:widowControl w:val="0"/>
              <w:kinsoku/>
              <w:autoSpaceDE/>
              <w:autoSpaceDN/>
              <w:adjustRightInd/>
              <w:snapToGrid/>
              <w:spacing w:line="240" w:lineRule="auto"/>
              <w:jc w:val="center"/>
              <w:textAlignment w:val="auto"/>
              <w:rPr>
                <w:rFonts w:ascii="宋体" w:hAnsi="宋体" w:eastAsia="宋体" w:cs="Arial"/>
                <w:snapToGrid/>
                <w:color w:val="auto"/>
                <w:kern w:val="2"/>
                <w:szCs w:val="21"/>
              </w:rPr>
            </w:pPr>
            <w:r>
              <w:rPr>
                <w:rFonts w:hint="eastAsia" w:ascii="宋体" w:hAnsi="宋体" w:eastAsia="宋体" w:cs="Arial"/>
                <w:snapToGrid/>
                <w:color w:val="auto"/>
                <w:kern w:val="2"/>
                <w:szCs w:val="21"/>
              </w:rPr>
              <w:t>扭转试验机</w:t>
            </w:r>
            <w:r>
              <w:rPr>
                <w:rFonts w:ascii="宋体" w:hAnsi="宋体" w:eastAsia="宋体" w:cs="宋体"/>
                <w:snapToGrid/>
                <w:color w:val="auto"/>
                <w:kern w:val="2"/>
                <w:szCs w:val="21"/>
                <w:vertAlign w:val="superscript"/>
              </w:rPr>
              <w:t>*</w:t>
            </w:r>
          </w:p>
          <w:p w14:paraId="33ED47A7">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宋体"/>
                <w:snapToGrid/>
                <w:color w:val="auto"/>
                <w:kern w:val="2"/>
                <w:szCs w:val="21"/>
              </w:rPr>
              <w:t>（最低量程上的最大灵敏度不低于</w:t>
            </w:r>
            <w:r>
              <w:rPr>
                <w:rFonts w:ascii="宋体" w:hAnsi="宋体" w:eastAsia="宋体" w:cs="宋体"/>
                <w:snapToGrid/>
                <w:color w:val="auto"/>
                <w:kern w:val="2"/>
                <w:szCs w:val="21"/>
              </w:rPr>
              <w:t>0</w:t>
            </w:r>
            <w:r>
              <w:rPr>
                <w:rFonts w:hint="eastAsia" w:ascii="宋体" w:hAnsi="宋体" w:eastAsia="宋体" w:cs="宋体"/>
                <w:snapToGrid/>
                <w:color w:val="auto"/>
                <w:kern w:val="2"/>
                <w:szCs w:val="21"/>
              </w:rPr>
              <w:t>.</w:t>
            </w:r>
            <w:r>
              <w:rPr>
                <w:rFonts w:ascii="宋体" w:hAnsi="宋体" w:eastAsia="宋体" w:cs="宋体"/>
                <w:snapToGrid/>
                <w:color w:val="auto"/>
                <w:kern w:val="2"/>
                <w:szCs w:val="21"/>
              </w:rPr>
              <w:t>01N·m或与此相当</w:t>
            </w:r>
            <w:r>
              <w:rPr>
                <w:rFonts w:hint="eastAsia" w:ascii="宋体" w:hAnsi="宋体" w:eastAsia="宋体" w:cs="宋体"/>
                <w:snapToGrid/>
                <w:color w:val="auto"/>
                <w:kern w:val="2"/>
                <w:szCs w:val="21"/>
              </w:rPr>
              <w:t>，</w:t>
            </w:r>
            <w:r>
              <w:rPr>
                <w:rFonts w:ascii="宋体" w:hAnsi="宋体" w:eastAsia="宋体" w:cs="宋体"/>
                <w:snapToGrid/>
                <w:color w:val="auto"/>
                <w:kern w:val="2"/>
                <w:szCs w:val="21"/>
              </w:rPr>
              <w:t>在其他量</w:t>
            </w:r>
            <w:r>
              <w:rPr>
                <w:rFonts w:hint="eastAsia" w:ascii="宋体" w:hAnsi="宋体" w:eastAsia="宋体" w:cs="宋体"/>
                <w:snapToGrid/>
                <w:color w:val="auto"/>
                <w:kern w:val="2"/>
                <w:szCs w:val="21"/>
              </w:rPr>
              <w:t>程上的满刻度读数最大灵敏度不低于</w:t>
            </w:r>
            <w:r>
              <w:rPr>
                <w:rFonts w:ascii="宋体" w:hAnsi="宋体" w:eastAsia="宋体" w:cs="宋体"/>
                <w:snapToGrid/>
                <w:color w:val="auto"/>
                <w:kern w:val="2"/>
                <w:szCs w:val="21"/>
              </w:rPr>
              <w:t>1%</w:t>
            </w:r>
            <w:r>
              <w:rPr>
                <w:rFonts w:hint="eastAsia" w:ascii="宋体" w:hAnsi="宋体" w:eastAsia="宋体" w:cs="宋体"/>
                <w:snapToGrid/>
                <w:color w:val="auto"/>
                <w:kern w:val="2"/>
                <w:szCs w:val="21"/>
              </w:rPr>
              <w:t>；</w:t>
            </w:r>
            <w:r>
              <w:rPr>
                <w:rFonts w:ascii="宋体" w:hAnsi="宋体" w:eastAsia="宋体" w:cs="宋体"/>
                <w:snapToGrid/>
                <w:color w:val="auto"/>
                <w:kern w:val="2"/>
                <w:szCs w:val="21"/>
              </w:rPr>
              <w:t>）</w:t>
            </w:r>
          </w:p>
        </w:tc>
      </w:tr>
      <w:tr w14:paraId="13D71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59944266">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12</w:t>
            </w:r>
          </w:p>
        </w:tc>
        <w:tc>
          <w:tcPr>
            <w:tcW w:w="2410" w:type="dxa"/>
            <w:shd w:val="clear" w:color="auto" w:fill="auto"/>
            <w:vAlign w:val="center"/>
          </w:tcPr>
          <w:p w14:paraId="38FFC5E1">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轴向拔出力</w:t>
            </w:r>
          </w:p>
        </w:tc>
        <w:tc>
          <w:tcPr>
            <w:tcW w:w="5182" w:type="dxa"/>
            <w:shd w:val="clear" w:color="auto" w:fill="auto"/>
            <w:vAlign w:val="center"/>
          </w:tcPr>
          <w:p w14:paraId="0B15D69B">
            <w:pPr>
              <w:widowControl w:val="0"/>
              <w:kinsoku/>
              <w:autoSpaceDE/>
              <w:autoSpaceDN/>
              <w:adjustRightInd/>
              <w:snapToGrid/>
              <w:spacing w:line="240" w:lineRule="auto"/>
              <w:jc w:val="center"/>
              <w:textAlignment w:val="auto"/>
              <w:rPr>
                <w:rFonts w:ascii="宋体" w:hAnsi="宋体" w:eastAsia="宋体" w:cs="Arial"/>
                <w:snapToGrid/>
                <w:color w:val="auto"/>
                <w:kern w:val="2"/>
                <w:szCs w:val="21"/>
              </w:rPr>
            </w:pPr>
            <w:r>
              <w:rPr>
                <w:rFonts w:hint="eastAsia" w:ascii="宋体" w:hAnsi="宋体" w:eastAsia="宋体" w:cs="Arial"/>
                <w:snapToGrid/>
                <w:color w:val="auto"/>
                <w:kern w:val="2"/>
                <w:szCs w:val="21"/>
              </w:rPr>
              <w:t>拉力试验机</w:t>
            </w:r>
            <w:r>
              <w:rPr>
                <w:rFonts w:ascii="宋体" w:hAnsi="宋体" w:eastAsia="宋体" w:cs="宋体"/>
                <w:snapToGrid/>
                <w:color w:val="auto"/>
                <w:kern w:val="2"/>
                <w:szCs w:val="21"/>
                <w:vertAlign w:val="superscript"/>
              </w:rPr>
              <w:t>*</w:t>
            </w:r>
          </w:p>
        </w:tc>
      </w:tr>
      <w:tr w14:paraId="198F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2AF91573">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13</w:t>
            </w:r>
          </w:p>
        </w:tc>
        <w:tc>
          <w:tcPr>
            <w:tcW w:w="2410" w:type="dxa"/>
            <w:shd w:val="clear" w:color="auto" w:fill="auto"/>
            <w:vAlign w:val="center"/>
          </w:tcPr>
          <w:p w14:paraId="57E657F3">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旋入扭矩和旋出扭矩</w:t>
            </w:r>
          </w:p>
        </w:tc>
        <w:tc>
          <w:tcPr>
            <w:tcW w:w="5182" w:type="dxa"/>
            <w:shd w:val="clear" w:color="auto" w:fill="auto"/>
            <w:vAlign w:val="center"/>
          </w:tcPr>
          <w:p w14:paraId="698D7CDC">
            <w:pPr>
              <w:widowControl w:val="0"/>
              <w:kinsoku/>
              <w:autoSpaceDE/>
              <w:autoSpaceDN/>
              <w:adjustRightInd/>
              <w:snapToGrid/>
              <w:spacing w:line="240" w:lineRule="auto"/>
              <w:jc w:val="center"/>
              <w:textAlignment w:val="auto"/>
              <w:rPr>
                <w:rFonts w:ascii="宋体" w:hAnsi="宋体" w:eastAsia="宋体" w:cs="Arial"/>
                <w:snapToGrid/>
                <w:color w:val="auto"/>
                <w:kern w:val="2"/>
                <w:szCs w:val="21"/>
              </w:rPr>
            </w:pPr>
            <w:r>
              <w:rPr>
                <w:rFonts w:hint="eastAsia" w:ascii="宋体" w:hAnsi="宋体" w:eastAsia="宋体" w:cs="Arial"/>
                <w:snapToGrid/>
                <w:color w:val="auto"/>
                <w:kern w:val="2"/>
                <w:szCs w:val="21"/>
              </w:rPr>
              <w:t>扭转试验机</w:t>
            </w:r>
          </w:p>
          <w:p w14:paraId="4A17FF89">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（设备要求同上）</w:t>
            </w:r>
          </w:p>
        </w:tc>
      </w:tr>
      <w:tr w14:paraId="1F891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56724F1B">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14</w:t>
            </w:r>
          </w:p>
        </w:tc>
        <w:tc>
          <w:tcPr>
            <w:tcW w:w="2410" w:type="dxa"/>
            <w:shd w:val="clear" w:color="auto" w:fill="auto"/>
            <w:vAlign w:val="center"/>
          </w:tcPr>
          <w:p w14:paraId="7C032FCD">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自攻性能</w:t>
            </w:r>
          </w:p>
        </w:tc>
        <w:tc>
          <w:tcPr>
            <w:tcW w:w="5182" w:type="dxa"/>
            <w:shd w:val="clear" w:color="auto" w:fill="auto"/>
            <w:vAlign w:val="center"/>
          </w:tcPr>
          <w:p w14:paraId="6F1E9D7B">
            <w:pPr>
              <w:widowControl w:val="0"/>
              <w:kinsoku/>
              <w:autoSpaceDE/>
              <w:autoSpaceDN/>
              <w:adjustRightInd/>
              <w:snapToGrid/>
              <w:spacing w:line="240" w:lineRule="auto"/>
              <w:jc w:val="center"/>
              <w:textAlignment w:val="auto"/>
              <w:rPr>
                <w:rFonts w:ascii="宋体" w:hAnsi="宋体" w:eastAsia="宋体" w:cs="Arial"/>
                <w:snapToGrid/>
                <w:color w:val="auto"/>
                <w:kern w:val="2"/>
                <w:szCs w:val="21"/>
              </w:rPr>
            </w:pPr>
            <w:r>
              <w:rPr>
                <w:rFonts w:hint="eastAsia" w:ascii="宋体" w:hAnsi="宋体" w:eastAsia="宋体" w:cs="Arial"/>
                <w:snapToGrid/>
                <w:color w:val="auto"/>
                <w:kern w:val="2"/>
                <w:szCs w:val="21"/>
              </w:rPr>
              <w:t>扭转试验机</w:t>
            </w:r>
          </w:p>
          <w:p w14:paraId="2AE26C20">
            <w:pPr>
              <w:widowControl w:val="0"/>
              <w:kinsoku/>
              <w:autoSpaceDE/>
              <w:autoSpaceDN/>
              <w:adjustRightInd/>
              <w:snapToGrid/>
              <w:spacing w:line="240" w:lineRule="auto"/>
              <w:jc w:val="center"/>
              <w:textAlignment w:val="auto"/>
              <w:rPr>
                <w:rFonts w:ascii="宋体" w:hAnsi="宋体" w:eastAsia="宋体" w:cs="宋体"/>
                <w:snapToGrid/>
                <w:color w:val="auto"/>
                <w:kern w:val="2"/>
                <w:szCs w:val="21"/>
              </w:rPr>
            </w:pPr>
            <w:r>
              <w:rPr>
                <w:rFonts w:hint="eastAsia" w:ascii="宋体" w:hAnsi="宋体" w:eastAsia="宋体" w:cs="Arial"/>
                <w:snapToGrid/>
                <w:color w:val="auto"/>
                <w:kern w:val="2"/>
                <w:szCs w:val="21"/>
              </w:rPr>
              <w:t>（设备要求同上）</w:t>
            </w:r>
          </w:p>
        </w:tc>
      </w:tr>
      <w:tr w14:paraId="20DF4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shd w:val="clear" w:color="auto" w:fill="auto"/>
            <w:vAlign w:val="center"/>
          </w:tcPr>
          <w:p w14:paraId="51BA6960">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15</w:t>
            </w:r>
          </w:p>
        </w:tc>
        <w:tc>
          <w:tcPr>
            <w:tcW w:w="2410" w:type="dxa"/>
            <w:shd w:val="clear" w:color="auto" w:fill="auto"/>
            <w:vAlign w:val="center"/>
          </w:tcPr>
          <w:p w14:paraId="69667149">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配合性能</w:t>
            </w:r>
          </w:p>
        </w:tc>
        <w:tc>
          <w:tcPr>
            <w:tcW w:w="5182" w:type="dxa"/>
            <w:shd w:val="clear" w:color="auto" w:fill="auto"/>
            <w:vAlign w:val="center"/>
          </w:tcPr>
          <w:p w14:paraId="6743EF30">
            <w:pPr>
              <w:widowControl w:val="0"/>
              <w:kinsoku/>
              <w:autoSpaceDE/>
              <w:autoSpaceDN/>
              <w:adjustRightInd/>
              <w:snapToGrid/>
              <w:spacing w:line="240" w:lineRule="auto"/>
              <w:jc w:val="center"/>
              <w:textAlignment w:val="auto"/>
              <w:rPr>
                <w:rFonts w:ascii="宋体" w:hAnsi="宋体" w:eastAsia="宋体" w:cs="Arial"/>
                <w:snapToGrid/>
                <w:color w:val="auto"/>
                <w:kern w:val="2"/>
                <w:szCs w:val="21"/>
              </w:rPr>
            </w:pPr>
            <w:r>
              <w:rPr>
                <w:rFonts w:hint="eastAsia" w:ascii="宋体" w:hAnsi="宋体" w:eastAsia="宋体" w:cs="Arial"/>
                <w:snapToGrid/>
                <w:color w:val="auto"/>
                <w:kern w:val="2"/>
                <w:szCs w:val="21"/>
              </w:rPr>
              <w:t>仿使用动作（无设备要求）</w:t>
            </w:r>
          </w:p>
        </w:tc>
      </w:tr>
      <w:tr w14:paraId="0806F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102D0C7E">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16</w:t>
            </w:r>
          </w:p>
        </w:tc>
        <w:tc>
          <w:tcPr>
            <w:tcW w:w="2410" w:type="dxa"/>
            <w:shd w:val="clear" w:color="auto" w:fill="auto"/>
            <w:vAlign w:val="center"/>
          </w:tcPr>
          <w:p w14:paraId="68FB33BB">
            <w:pPr>
              <w:widowControl w:val="0"/>
              <w:kinsoku/>
              <w:autoSpaceDE/>
              <w:autoSpaceDN/>
              <w:adjustRightInd/>
              <w:snapToGrid/>
              <w:spacing w:line="240" w:lineRule="auto"/>
              <w:jc w:val="center"/>
              <w:textAlignment w:val="auto"/>
              <w:rPr>
                <w:rFonts w:ascii="Calibri" w:hAnsi="Calibri" w:eastAsia="宋体" w:cs="Times New Roman"/>
                <w:snapToGrid/>
                <w:color w:val="auto"/>
                <w:kern w:val="2"/>
                <w:szCs w:val="24"/>
              </w:rPr>
            </w:pPr>
            <w:r>
              <w:rPr>
                <w:rFonts w:hint="eastAsia" w:ascii="宋体" w:hAnsi="宋体" w:eastAsia="宋体" w:cs="Times New Roman"/>
                <w:snapToGrid/>
                <w:color w:val="auto"/>
                <w:kern w:val="2"/>
                <w:szCs w:val="21"/>
              </w:rPr>
              <w:t>无菌</w:t>
            </w:r>
          </w:p>
          <w:p w14:paraId="092EE224">
            <w:pPr>
              <w:widowControl w:val="0"/>
              <w:kinsoku/>
              <w:autoSpaceDE/>
              <w:autoSpaceDN/>
              <w:adjustRightInd/>
              <w:snapToGrid/>
              <w:spacing w:line="240" w:lineRule="auto"/>
              <w:jc w:val="center"/>
              <w:textAlignment w:val="auto"/>
              <w:rPr>
                <w:rFonts w:ascii="Calibri" w:hAnsi="Calibri" w:eastAsia="宋体" w:cs="Times New Roman"/>
                <w:snapToGrid/>
                <w:color w:val="auto"/>
                <w:kern w:val="2"/>
                <w:szCs w:val="24"/>
              </w:rPr>
            </w:pPr>
            <w:r>
              <w:rPr>
                <w:rFonts w:hint="eastAsia" w:ascii="宋体" w:hAnsi="宋体" w:eastAsia="宋体" w:cs="Times New Roman"/>
                <w:snapToGrid/>
                <w:color w:val="auto"/>
                <w:kern w:val="2"/>
                <w:szCs w:val="21"/>
              </w:rPr>
              <w:t>（无菌交付适用）</w:t>
            </w:r>
          </w:p>
        </w:tc>
        <w:tc>
          <w:tcPr>
            <w:tcW w:w="5182" w:type="dxa"/>
            <w:shd w:val="clear" w:color="auto" w:fill="auto"/>
            <w:vAlign w:val="center"/>
          </w:tcPr>
          <w:p w14:paraId="3401910F">
            <w:pPr>
              <w:widowControl w:val="0"/>
              <w:kinsoku/>
              <w:autoSpaceDE/>
              <w:autoSpaceDN/>
              <w:adjustRightInd/>
              <w:snapToGrid/>
              <w:spacing w:line="240" w:lineRule="auto"/>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灭菌器</w:t>
            </w:r>
            <w:r>
              <w:rPr>
                <w:rFonts w:ascii="宋体" w:hAnsi="宋体" w:eastAsia="宋体" w:cs="宋体"/>
                <w:snapToGrid/>
                <w:color w:val="auto"/>
                <w:kern w:val="2"/>
                <w:szCs w:val="21"/>
                <w:vertAlign w:val="superscript"/>
              </w:rPr>
              <w:t>*</w:t>
            </w:r>
            <w:r>
              <w:rPr>
                <w:rFonts w:hint="eastAsia" w:ascii="宋体" w:hAnsi="宋体" w:eastAsia="宋体" w:cs="Times New Roman"/>
                <w:snapToGrid/>
                <w:color w:val="auto"/>
                <w:kern w:val="2"/>
                <w:szCs w:val="21"/>
              </w:rPr>
              <w:t>、培养箱</w:t>
            </w:r>
            <w:r>
              <w:rPr>
                <w:rFonts w:ascii="宋体" w:hAnsi="宋体" w:eastAsia="宋体" w:cs="宋体"/>
                <w:snapToGrid/>
                <w:color w:val="auto"/>
                <w:kern w:val="2"/>
                <w:szCs w:val="21"/>
                <w:vertAlign w:val="superscript"/>
              </w:rPr>
              <w:t>*</w:t>
            </w:r>
            <w:r>
              <w:rPr>
                <w:rFonts w:hint="eastAsia" w:ascii="宋体" w:hAnsi="宋体" w:eastAsia="宋体" w:cs="Times New Roman"/>
                <w:snapToGrid/>
                <w:color w:val="auto"/>
                <w:kern w:val="2"/>
                <w:szCs w:val="21"/>
              </w:rPr>
              <w:t>、冰箱</w:t>
            </w:r>
            <w:r>
              <w:rPr>
                <w:rFonts w:ascii="宋体" w:hAnsi="宋体" w:eastAsia="宋体" w:cs="宋体"/>
                <w:snapToGrid/>
                <w:color w:val="auto"/>
                <w:kern w:val="2"/>
                <w:szCs w:val="21"/>
                <w:vertAlign w:val="superscript"/>
              </w:rPr>
              <w:t>*</w:t>
            </w:r>
            <w:r>
              <w:rPr>
                <w:rFonts w:hint="eastAsia" w:ascii="宋体" w:hAnsi="宋体" w:eastAsia="宋体" w:cs="Times New Roman"/>
                <w:snapToGrid/>
                <w:color w:val="auto"/>
                <w:kern w:val="2"/>
                <w:szCs w:val="21"/>
              </w:rPr>
              <w:t>、洁净工作台</w:t>
            </w:r>
            <w:r>
              <w:rPr>
                <w:rFonts w:ascii="宋体" w:hAnsi="宋体" w:eastAsia="宋体" w:cs="宋体"/>
                <w:snapToGrid/>
                <w:color w:val="auto"/>
                <w:kern w:val="2"/>
                <w:szCs w:val="21"/>
                <w:vertAlign w:val="superscript"/>
              </w:rPr>
              <w:t>*</w:t>
            </w:r>
            <w:r>
              <w:rPr>
                <w:rFonts w:hint="eastAsia" w:ascii="宋体" w:hAnsi="宋体" w:eastAsia="宋体" w:cs="Times New Roman"/>
                <w:snapToGrid/>
                <w:color w:val="auto"/>
                <w:kern w:val="2"/>
                <w:szCs w:val="21"/>
              </w:rPr>
              <w:t>、生物安全柜</w:t>
            </w:r>
            <w:r>
              <w:rPr>
                <w:rFonts w:ascii="宋体" w:hAnsi="宋体" w:eastAsia="宋体" w:cs="宋体"/>
                <w:snapToGrid/>
                <w:color w:val="auto"/>
                <w:kern w:val="2"/>
                <w:szCs w:val="21"/>
                <w:vertAlign w:val="superscript"/>
              </w:rPr>
              <w:t>*</w:t>
            </w:r>
          </w:p>
          <w:p w14:paraId="63C20877">
            <w:pPr>
              <w:widowControl w:val="0"/>
              <w:kinsoku/>
              <w:autoSpaceDE/>
              <w:autoSpaceDN/>
              <w:adjustRightInd/>
              <w:snapToGrid/>
              <w:spacing w:line="240" w:lineRule="auto"/>
              <w:jc w:val="both"/>
              <w:textAlignment w:val="auto"/>
              <w:rPr>
                <w:rFonts w:ascii="Calibri" w:hAnsi="Calibri" w:eastAsia="宋体" w:cs="Times New Roman"/>
                <w:snapToGrid/>
                <w:color w:val="auto"/>
                <w:kern w:val="2"/>
                <w:szCs w:val="24"/>
              </w:rPr>
            </w:pPr>
            <w:r>
              <w:rPr>
                <w:rFonts w:hint="eastAsia" w:ascii="宋体" w:hAnsi="宋体" w:eastAsia="宋体" w:cs="Times New Roman"/>
                <w:snapToGrid/>
                <w:color w:val="auto"/>
                <w:kern w:val="2"/>
                <w:szCs w:val="21"/>
              </w:rPr>
              <w:t>电子天平、无菌检查系统</w:t>
            </w:r>
          </w:p>
        </w:tc>
      </w:tr>
      <w:tr w14:paraId="1134B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vAlign w:val="center"/>
          </w:tcPr>
          <w:p w14:paraId="456C66CA">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17</w:t>
            </w:r>
          </w:p>
        </w:tc>
        <w:tc>
          <w:tcPr>
            <w:tcW w:w="2410" w:type="dxa"/>
            <w:shd w:val="clear" w:color="auto" w:fill="auto"/>
            <w:vAlign w:val="center"/>
          </w:tcPr>
          <w:p w14:paraId="4A6DC450">
            <w:pPr>
              <w:widowControl w:val="0"/>
              <w:kinsoku/>
              <w:autoSpaceDE/>
              <w:autoSpaceDN/>
              <w:adjustRightInd/>
              <w:snapToGrid/>
              <w:spacing w:line="240" w:lineRule="auto"/>
              <w:ind w:left="-105" w:leftChars="-50" w:right="-105" w:rightChars="-50"/>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环氧乙烷（如适用）</w:t>
            </w:r>
          </w:p>
        </w:tc>
        <w:tc>
          <w:tcPr>
            <w:tcW w:w="5182" w:type="dxa"/>
            <w:shd w:val="clear" w:color="auto" w:fill="auto"/>
            <w:vAlign w:val="center"/>
          </w:tcPr>
          <w:p w14:paraId="4A22EEDE">
            <w:pPr>
              <w:widowControl w:val="0"/>
              <w:kinsoku/>
              <w:autoSpaceDE/>
              <w:autoSpaceDN/>
              <w:adjustRightInd/>
              <w:snapToGrid/>
              <w:spacing w:line="240" w:lineRule="auto"/>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气相色谱仪</w:t>
            </w:r>
          </w:p>
        </w:tc>
      </w:tr>
    </w:tbl>
    <w:p w14:paraId="663CCAE8">
      <w:pPr>
        <w:spacing w:line="520" w:lineRule="exact"/>
        <w:ind w:firstLine="560" w:firstLineChars="200"/>
        <w:rPr>
          <w:rFonts w:ascii="宋体" w:hAnsi="宋体" w:eastAsia="宋体" w:cs="Times New Roman"/>
          <w:color w:val="auto"/>
          <w:sz w:val="28"/>
          <w:szCs w:val="28"/>
        </w:rPr>
        <w:sectPr>
          <w:footerReference r:id="rId5" w:type="default"/>
          <w:pgSz w:w="11906" w:h="16838"/>
          <w:pgMar w:top="1814" w:right="1531" w:bottom="1985" w:left="1531" w:header="720" w:footer="1474" w:gutter="0"/>
          <w:pgNumType w:fmt="decimal"/>
          <w:cols w:space="0" w:num="1"/>
          <w:rtlGutter w:val="0"/>
          <w:docGrid w:type="lines" w:linePitch="312" w:charSpace="0"/>
        </w:sectPr>
      </w:pPr>
      <w:r>
        <w:rPr>
          <w:rFonts w:hint="eastAsia" w:ascii="宋体" w:hAnsi="宋体" w:eastAsia="宋体" w:cs="Times New Roman"/>
          <w:snapToGrid/>
          <w:color w:val="auto"/>
          <w:kern w:val="2"/>
          <w:sz w:val="28"/>
          <w:szCs w:val="28"/>
        </w:rPr>
        <w:t>注： *为必备设备。</w:t>
      </w:r>
    </w:p>
    <w:p w14:paraId="4499BA0B">
      <w:pPr>
        <w:widowControl w:val="0"/>
        <w:ind w:firstLine="0" w:firstLineChars="0"/>
        <w:jc w:val="both"/>
        <w:rPr>
          <w:rFonts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附件1</w:t>
      </w:r>
    </w:p>
    <w:tbl>
      <w:tblPr>
        <w:tblStyle w:val="4"/>
        <w:tblW w:w="14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1"/>
        <w:gridCol w:w="1198"/>
        <w:gridCol w:w="3859"/>
        <w:gridCol w:w="1719"/>
        <w:gridCol w:w="1339"/>
        <w:gridCol w:w="1308"/>
        <w:gridCol w:w="2058"/>
        <w:gridCol w:w="2849"/>
      </w:tblGrid>
      <w:tr w14:paraId="6EAB7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blHeader/>
          <w:jc w:val="center"/>
        </w:trPr>
        <w:tc>
          <w:tcPr>
            <w:tcW w:w="641" w:type="dxa"/>
            <w:shd w:val="clear" w:color="auto" w:fill="E7E6E6"/>
            <w:vAlign w:val="center"/>
          </w:tcPr>
          <w:p w14:paraId="013C5BA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序号</w:t>
            </w:r>
          </w:p>
        </w:tc>
        <w:tc>
          <w:tcPr>
            <w:tcW w:w="1198" w:type="dxa"/>
            <w:shd w:val="clear" w:color="auto" w:fill="E7E6E6"/>
            <w:vAlign w:val="center"/>
          </w:tcPr>
          <w:p w14:paraId="42247A7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项目</w:t>
            </w:r>
          </w:p>
        </w:tc>
        <w:tc>
          <w:tcPr>
            <w:tcW w:w="3859" w:type="dxa"/>
            <w:shd w:val="clear" w:color="auto" w:fill="E7E6E6"/>
            <w:vAlign w:val="center"/>
          </w:tcPr>
          <w:p w14:paraId="157AEF54">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性能指标</w:t>
            </w:r>
          </w:p>
        </w:tc>
        <w:tc>
          <w:tcPr>
            <w:tcW w:w="1719" w:type="dxa"/>
            <w:shd w:val="clear" w:color="auto" w:fill="E7E6E6"/>
            <w:vAlign w:val="center"/>
          </w:tcPr>
          <w:p w14:paraId="04E2915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检验方法</w:t>
            </w:r>
          </w:p>
        </w:tc>
        <w:tc>
          <w:tcPr>
            <w:tcW w:w="1339" w:type="dxa"/>
            <w:shd w:val="clear" w:color="auto" w:fill="E7E6E6"/>
            <w:vAlign w:val="center"/>
          </w:tcPr>
          <w:p w14:paraId="5C90F62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判定准则</w:t>
            </w:r>
          </w:p>
        </w:tc>
        <w:tc>
          <w:tcPr>
            <w:tcW w:w="1308" w:type="dxa"/>
            <w:shd w:val="clear" w:color="auto" w:fill="E7E6E6"/>
            <w:vAlign w:val="center"/>
          </w:tcPr>
          <w:p w14:paraId="18A08A8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检验要求</w:t>
            </w:r>
          </w:p>
        </w:tc>
        <w:tc>
          <w:tcPr>
            <w:tcW w:w="2058" w:type="dxa"/>
            <w:shd w:val="clear" w:color="auto" w:fill="E7E6E6"/>
            <w:vAlign w:val="center"/>
          </w:tcPr>
          <w:p w14:paraId="6A4BA529">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抽样规则</w:t>
            </w:r>
          </w:p>
        </w:tc>
        <w:tc>
          <w:tcPr>
            <w:tcW w:w="2849" w:type="dxa"/>
            <w:shd w:val="clear" w:color="auto" w:fill="E7E6E6"/>
            <w:vAlign w:val="center"/>
          </w:tcPr>
          <w:p w14:paraId="4C464B62">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备注</w:t>
            </w:r>
          </w:p>
        </w:tc>
      </w:tr>
      <w:tr w14:paraId="41413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4" w:hRule="atLeast"/>
          <w:jc w:val="center"/>
        </w:trPr>
        <w:tc>
          <w:tcPr>
            <w:tcW w:w="641" w:type="dxa"/>
            <w:vAlign w:val="center"/>
          </w:tcPr>
          <w:p w14:paraId="67519310">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1</w:t>
            </w:r>
          </w:p>
        </w:tc>
        <w:tc>
          <w:tcPr>
            <w:tcW w:w="1198" w:type="dxa"/>
            <w:vAlign w:val="center"/>
          </w:tcPr>
          <w:p w14:paraId="049DF4C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外观</w:t>
            </w:r>
          </w:p>
        </w:tc>
        <w:tc>
          <w:tcPr>
            <w:tcW w:w="3859" w:type="dxa"/>
            <w:vAlign w:val="center"/>
          </w:tcPr>
          <w:p w14:paraId="44EF2B6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表面应无氧化皮、刀痕、小缺口、划伤、裂缝、凹陷、锋棱（接骨螺钉刃口除外）、毛刺等缺陷，也应无镶嵌物，终加工沉积物和其他污染物。</w:t>
            </w:r>
          </w:p>
        </w:tc>
        <w:tc>
          <w:tcPr>
            <w:tcW w:w="1719" w:type="dxa"/>
            <w:vAlign w:val="center"/>
          </w:tcPr>
          <w:p w14:paraId="1FFCA5F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目力观察</w:t>
            </w:r>
          </w:p>
        </w:tc>
        <w:tc>
          <w:tcPr>
            <w:tcW w:w="1339" w:type="dxa"/>
            <w:vAlign w:val="center"/>
          </w:tcPr>
          <w:p w14:paraId="1F448FF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不应有外观缺陷。</w:t>
            </w:r>
          </w:p>
        </w:tc>
        <w:tc>
          <w:tcPr>
            <w:tcW w:w="1308" w:type="dxa"/>
            <w:vAlign w:val="center"/>
          </w:tcPr>
          <w:p w14:paraId="3EF0DCC8">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过程检+出厂检验</w:t>
            </w:r>
          </w:p>
        </w:tc>
        <w:tc>
          <w:tcPr>
            <w:tcW w:w="2058" w:type="dxa"/>
            <w:vAlign w:val="center"/>
          </w:tcPr>
          <w:p w14:paraId="1A22AF53">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每批成品抽检10件</w:t>
            </w:r>
          </w:p>
          <w:p w14:paraId="440ABE8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（出厂检验），1件不合格整批不合格</w:t>
            </w:r>
          </w:p>
        </w:tc>
        <w:tc>
          <w:tcPr>
            <w:tcW w:w="2849" w:type="dxa"/>
            <w:vAlign w:val="center"/>
          </w:tcPr>
          <w:p w14:paraId="773C3D2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可在粗洗工序后、精洗前进行。</w:t>
            </w:r>
          </w:p>
        </w:tc>
      </w:tr>
      <w:tr w14:paraId="70694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jc w:val="center"/>
        </w:trPr>
        <w:tc>
          <w:tcPr>
            <w:tcW w:w="641" w:type="dxa"/>
            <w:vAlign w:val="center"/>
          </w:tcPr>
          <w:p w14:paraId="388D8C3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2</w:t>
            </w:r>
          </w:p>
        </w:tc>
        <w:tc>
          <w:tcPr>
            <w:tcW w:w="1198" w:type="dxa"/>
            <w:vAlign w:val="center"/>
          </w:tcPr>
          <w:p w14:paraId="2DA38E3C">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尺寸</w:t>
            </w:r>
          </w:p>
        </w:tc>
        <w:tc>
          <w:tcPr>
            <w:tcW w:w="3859" w:type="dxa"/>
            <w:vAlign w:val="center"/>
          </w:tcPr>
          <w:p w14:paraId="249C308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产品重要部位尺寸和公差，规定产品的尺寸和公差（参照 YY0017《骨接合植入物 金属接骨板》，YY0018《骨接合植入物 金属接骨螺钉》），包括接骨螺钉螺纹最大直径、底径、头部直径，接骨板螺钉孔的孔径等。</w:t>
            </w:r>
          </w:p>
        </w:tc>
        <w:tc>
          <w:tcPr>
            <w:tcW w:w="1719" w:type="dxa"/>
            <w:vAlign w:val="center"/>
          </w:tcPr>
          <w:p w14:paraId="16E2BAB6">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通用量具或专用检具</w:t>
            </w:r>
          </w:p>
        </w:tc>
        <w:tc>
          <w:tcPr>
            <w:tcW w:w="1339" w:type="dxa"/>
            <w:vAlign w:val="center"/>
          </w:tcPr>
          <w:p w14:paraId="6B5D6BB8">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尺寸应符合技术要求规定。</w:t>
            </w:r>
          </w:p>
        </w:tc>
        <w:tc>
          <w:tcPr>
            <w:tcW w:w="1308" w:type="dxa"/>
            <w:vAlign w:val="center"/>
          </w:tcPr>
          <w:p w14:paraId="7218ABB1">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首件检+过程检+出厂检验</w:t>
            </w:r>
          </w:p>
        </w:tc>
        <w:tc>
          <w:tcPr>
            <w:tcW w:w="2058" w:type="dxa"/>
            <w:vAlign w:val="center"/>
          </w:tcPr>
          <w:p w14:paraId="72679FA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每批成品抽检10件</w:t>
            </w:r>
          </w:p>
          <w:p w14:paraId="2126F8EE">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（出厂检验）1件不合格整批不合格</w:t>
            </w:r>
          </w:p>
        </w:tc>
        <w:tc>
          <w:tcPr>
            <w:tcW w:w="2849" w:type="dxa"/>
            <w:vAlign w:val="center"/>
          </w:tcPr>
          <w:p w14:paraId="720399B8">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可在粗洗工序后、精洗前进行。</w:t>
            </w:r>
          </w:p>
        </w:tc>
      </w:tr>
      <w:tr w14:paraId="6B43E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jc w:val="center"/>
        </w:trPr>
        <w:tc>
          <w:tcPr>
            <w:tcW w:w="641" w:type="dxa"/>
            <w:vAlign w:val="center"/>
          </w:tcPr>
          <w:p w14:paraId="278E97B0">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3</w:t>
            </w:r>
          </w:p>
        </w:tc>
        <w:tc>
          <w:tcPr>
            <w:tcW w:w="1198" w:type="dxa"/>
            <w:vAlign w:val="center"/>
          </w:tcPr>
          <w:p w14:paraId="2B36343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硬度</w:t>
            </w:r>
          </w:p>
        </w:tc>
        <w:tc>
          <w:tcPr>
            <w:tcW w:w="3859" w:type="dxa"/>
            <w:vAlign w:val="center"/>
          </w:tcPr>
          <w:p w14:paraId="5C19EE9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不锈钢≥210HV10；</w:t>
            </w:r>
          </w:p>
          <w:p w14:paraId="4477FF7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钛合金≥260HV10；</w:t>
            </w:r>
          </w:p>
          <w:p w14:paraId="1B679B3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纯钛≥150HV10</w:t>
            </w:r>
          </w:p>
          <w:p w14:paraId="0EBA39A5">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对于需要塑形的重建接骨板，企业可根据临床需要对产品的硬度进行规定。</w:t>
            </w:r>
          </w:p>
        </w:tc>
        <w:tc>
          <w:tcPr>
            <w:tcW w:w="1719" w:type="dxa"/>
            <w:vAlign w:val="center"/>
          </w:tcPr>
          <w:p w14:paraId="444DBF1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按GB/T 4340.1的规定进行</w:t>
            </w:r>
          </w:p>
        </w:tc>
        <w:tc>
          <w:tcPr>
            <w:tcW w:w="1339" w:type="dxa"/>
            <w:vAlign w:val="center"/>
          </w:tcPr>
          <w:p w14:paraId="16D56B63">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硬度应符合技术要求规定。</w:t>
            </w:r>
          </w:p>
        </w:tc>
        <w:tc>
          <w:tcPr>
            <w:tcW w:w="1308" w:type="dxa"/>
            <w:vAlign w:val="center"/>
          </w:tcPr>
          <w:p w14:paraId="09F2688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原材料进货检查+产品定型确认+定期确认</w:t>
            </w:r>
          </w:p>
        </w:tc>
        <w:tc>
          <w:tcPr>
            <w:tcW w:w="2058" w:type="dxa"/>
            <w:vAlign w:val="center"/>
          </w:tcPr>
          <w:p w14:paraId="2E5D21D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718981A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一年内至少确认一次；</w:t>
            </w:r>
          </w:p>
          <w:p w14:paraId="50331DE5">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可用同炉号材料同工艺的成品确认（不少于一个规格）；</w:t>
            </w:r>
          </w:p>
          <w:p w14:paraId="3FE1BA9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43A9B523">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392C9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0" w:hRule="atLeast"/>
          <w:jc w:val="center"/>
        </w:trPr>
        <w:tc>
          <w:tcPr>
            <w:tcW w:w="641" w:type="dxa"/>
            <w:vAlign w:val="center"/>
          </w:tcPr>
          <w:p w14:paraId="060AF6C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4</w:t>
            </w:r>
          </w:p>
        </w:tc>
        <w:tc>
          <w:tcPr>
            <w:tcW w:w="1198" w:type="dxa"/>
            <w:vAlign w:val="center"/>
          </w:tcPr>
          <w:p w14:paraId="3A738BF5">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表面缺陷</w:t>
            </w:r>
          </w:p>
        </w:tc>
        <w:tc>
          <w:tcPr>
            <w:tcW w:w="3859" w:type="dxa"/>
            <w:vAlign w:val="center"/>
          </w:tcPr>
          <w:p w14:paraId="255805C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表面不得有不连续性缺陷</w:t>
            </w:r>
          </w:p>
        </w:tc>
        <w:tc>
          <w:tcPr>
            <w:tcW w:w="1719" w:type="dxa"/>
            <w:vAlign w:val="center"/>
          </w:tcPr>
          <w:p w14:paraId="3CE8B49D">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0343的规定进行；其他经验证的方法也可接受</w:t>
            </w:r>
          </w:p>
        </w:tc>
        <w:tc>
          <w:tcPr>
            <w:tcW w:w="1339" w:type="dxa"/>
            <w:vAlign w:val="center"/>
          </w:tcPr>
          <w:p w14:paraId="604501A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产品表面应不得有不连续性缺陷。</w:t>
            </w:r>
          </w:p>
        </w:tc>
        <w:tc>
          <w:tcPr>
            <w:tcW w:w="1308" w:type="dxa"/>
            <w:vAlign w:val="center"/>
          </w:tcPr>
          <w:p w14:paraId="6E9F4C1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出厂检验</w:t>
            </w:r>
          </w:p>
        </w:tc>
        <w:tc>
          <w:tcPr>
            <w:tcW w:w="2058" w:type="dxa"/>
            <w:vAlign w:val="center"/>
          </w:tcPr>
          <w:p w14:paraId="647CC3AC">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w:t>
            </w:r>
            <w:r>
              <w:rPr>
                <w:rFonts w:ascii="宋体" w:hAnsi="宋体" w:eastAsia="宋体" w:cs="Times New Roman"/>
                <w:snapToGrid/>
                <w:color w:val="auto"/>
                <w:kern w:val="2"/>
                <w:szCs w:val="21"/>
              </w:rPr>
              <w:t>3</w:t>
            </w:r>
            <w:r>
              <w:rPr>
                <w:rFonts w:hint="eastAsia" w:ascii="宋体" w:hAnsi="宋体" w:eastAsia="宋体" w:cs="Times New Roman"/>
                <w:snapToGrid/>
                <w:color w:val="auto"/>
                <w:kern w:val="2"/>
                <w:szCs w:val="21"/>
              </w:rPr>
              <w:t>件，1件不合格整批不合格</w:t>
            </w:r>
          </w:p>
        </w:tc>
        <w:tc>
          <w:tcPr>
            <w:tcW w:w="2849" w:type="dxa"/>
            <w:vAlign w:val="center"/>
          </w:tcPr>
          <w:p w14:paraId="0B4A4E2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如使用其他的方法，需经验证，并保存相关记录。</w:t>
            </w:r>
          </w:p>
        </w:tc>
      </w:tr>
      <w:tr w14:paraId="6FE43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6" w:hRule="atLeast"/>
          <w:jc w:val="center"/>
        </w:trPr>
        <w:tc>
          <w:tcPr>
            <w:tcW w:w="641" w:type="dxa"/>
            <w:vAlign w:val="center"/>
          </w:tcPr>
          <w:p w14:paraId="0BD8F2A5">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5</w:t>
            </w:r>
          </w:p>
        </w:tc>
        <w:tc>
          <w:tcPr>
            <w:tcW w:w="1198" w:type="dxa"/>
            <w:shd w:val="clear" w:color="auto" w:fill="auto"/>
            <w:vAlign w:val="center"/>
          </w:tcPr>
          <w:p w14:paraId="486F2344">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表面粗糙度</w:t>
            </w:r>
          </w:p>
        </w:tc>
        <w:tc>
          <w:tcPr>
            <w:tcW w:w="3859" w:type="dxa"/>
            <w:shd w:val="clear" w:color="auto" w:fill="auto"/>
            <w:vAlign w:val="center"/>
          </w:tcPr>
          <w:p w14:paraId="67463A98">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接骨板：</w:t>
            </w:r>
          </w:p>
          <w:p w14:paraId="19DC756E">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不锈钢：</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3.2μm（孔、槽）、</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0.8μm（光滑内表面）、</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0.4μm（光滑外表面）</w:t>
            </w:r>
          </w:p>
          <w:p w14:paraId="4BA30268">
            <w:pPr>
              <w:widowControl w:val="0"/>
              <w:kinsoku/>
              <w:autoSpaceDE/>
              <w:autoSpaceDN/>
              <w:adjustRightInd/>
              <w:snapToGrid/>
              <w:spacing w:line="260" w:lineRule="exact"/>
              <w:jc w:val="center"/>
              <w:textAlignment w:val="auto"/>
              <w:rPr>
                <w:rFonts w:ascii="Times New Roman" w:hAnsi="Times New Roman" w:eastAsia="宋体" w:cs="Times New Roman"/>
                <w:snapToGrid/>
                <w:color w:val="auto"/>
                <w:kern w:val="2"/>
                <w:szCs w:val="21"/>
              </w:rPr>
            </w:pPr>
            <w:r>
              <w:rPr>
                <w:rFonts w:hint="eastAsia" w:ascii="宋体" w:hAnsi="宋体" w:eastAsia="宋体" w:cs="Times New Roman"/>
                <w:snapToGrid/>
                <w:color w:val="auto"/>
                <w:kern w:val="2"/>
                <w:szCs w:val="21"/>
              </w:rPr>
              <w:t>钛及钛合金：</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3.2μm（孔、槽）、</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1.6μm（光滑内表面）、</w:t>
            </w:r>
            <w:r>
              <w:rPr>
                <w:rFonts w:hint="eastAsia" w:ascii="宋体" w:hAnsi="宋体" w:eastAsia="宋体" w:cs="宋体"/>
                <w:snapToGrid/>
                <w:color w:val="auto"/>
                <w:kern w:val="2"/>
                <w:szCs w:val="21"/>
              </w:rPr>
              <w:t>≤</w:t>
            </w:r>
            <w:r>
              <w:rPr>
                <w:rFonts w:ascii="Times New Roman" w:hAnsi="Times New Roman" w:eastAsia="宋体" w:cs="Times New Roman"/>
                <w:snapToGrid/>
                <w:color w:val="auto"/>
                <w:kern w:val="2"/>
                <w:szCs w:val="21"/>
              </w:rPr>
              <w:t>0.</w:t>
            </w:r>
            <w:r>
              <w:rPr>
                <w:rFonts w:hint="eastAsia" w:ascii="Times New Roman" w:hAnsi="Times New Roman" w:eastAsia="宋体" w:cs="Times New Roman"/>
                <w:snapToGrid/>
                <w:color w:val="auto"/>
                <w:kern w:val="2"/>
                <w:szCs w:val="21"/>
              </w:rPr>
              <w:t>8</w:t>
            </w:r>
            <w:r>
              <w:rPr>
                <w:rFonts w:ascii="Times New Roman" w:hAnsi="Times New Roman" w:eastAsia="宋体" w:cs="Times New Roman"/>
                <w:snapToGrid/>
                <w:color w:val="auto"/>
                <w:kern w:val="2"/>
                <w:szCs w:val="21"/>
              </w:rPr>
              <w:t>μm（光滑外表面）</w:t>
            </w:r>
          </w:p>
          <w:p w14:paraId="7F617112">
            <w:pPr>
              <w:widowControl w:val="0"/>
              <w:kinsoku/>
              <w:autoSpaceDE/>
              <w:autoSpaceDN/>
              <w:adjustRightInd/>
              <w:snapToGrid/>
              <w:spacing w:line="260" w:lineRule="exact"/>
              <w:jc w:val="center"/>
              <w:textAlignment w:val="auto"/>
              <w:rPr>
                <w:rFonts w:ascii="Times New Roman" w:hAnsi="Times New Roman" w:eastAsia="宋体" w:cs="Times New Roman"/>
                <w:snapToGrid/>
                <w:color w:val="auto"/>
                <w:kern w:val="2"/>
                <w:szCs w:val="21"/>
              </w:rPr>
            </w:pPr>
          </w:p>
          <w:p w14:paraId="604D1336">
            <w:pPr>
              <w:widowControl w:val="0"/>
              <w:kinsoku/>
              <w:autoSpaceDE/>
              <w:autoSpaceDN/>
              <w:adjustRightInd/>
              <w:snapToGrid/>
              <w:spacing w:line="260" w:lineRule="exact"/>
              <w:jc w:val="center"/>
              <w:textAlignment w:val="auto"/>
              <w:rPr>
                <w:rFonts w:ascii="Times New Roman" w:hAnsi="Times New Roman" w:eastAsia="宋体" w:cs="Times New Roman"/>
                <w:snapToGrid/>
                <w:color w:val="auto"/>
                <w:kern w:val="2"/>
                <w:szCs w:val="21"/>
              </w:rPr>
            </w:pPr>
            <w:r>
              <w:rPr>
                <w:rFonts w:hint="eastAsia" w:ascii="Times New Roman" w:hAnsi="Times New Roman" w:eastAsia="宋体" w:cs="Times New Roman"/>
                <w:snapToGrid/>
                <w:color w:val="auto"/>
                <w:kern w:val="2"/>
                <w:szCs w:val="21"/>
              </w:rPr>
              <w:t>接骨螺钉：</w:t>
            </w:r>
          </w:p>
          <w:p w14:paraId="3DA30B6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不锈钢：</w:t>
            </w:r>
            <w:r>
              <w:rPr>
                <w:rFonts w:hint="eastAsia" w:ascii="宋体" w:hAnsi="宋体" w:eastAsia="宋体" w:cs="宋体"/>
                <w:snapToGrid/>
                <w:color w:val="auto"/>
                <w:kern w:val="2"/>
                <w:szCs w:val="21"/>
              </w:rPr>
              <w:t>≤0.4</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钉头外表面</w:t>
            </w:r>
            <w:r>
              <w:rPr>
                <w:rFonts w:ascii="Times New Roman" w:hAnsi="Times New Roman" w:eastAsia="宋体" w:cs="Times New Roman"/>
                <w:snapToGrid/>
                <w:color w:val="auto"/>
                <w:kern w:val="2"/>
                <w:szCs w:val="21"/>
              </w:rPr>
              <w:t>）、</w:t>
            </w:r>
            <w:r>
              <w:rPr>
                <w:rFonts w:hint="eastAsia" w:ascii="宋体" w:hAnsi="宋体" w:eastAsia="宋体" w:cs="宋体"/>
                <w:snapToGrid/>
                <w:color w:val="auto"/>
                <w:kern w:val="2"/>
                <w:szCs w:val="21"/>
              </w:rPr>
              <w:t>≤3.2</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螺纹</w:t>
            </w:r>
            <w:r>
              <w:rPr>
                <w:rFonts w:ascii="Times New Roman" w:hAnsi="Times New Roman" w:eastAsia="宋体" w:cs="Times New Roman"/>
                <w:snapToGrid/>
                <w:color w:val="auto"/>
                <w:kern w:val="2"/>
                <w:szCs w:val="21"/>
              </w:rPr>
              <w:t>）、</w:t>
            </w:r>
            <w:r>
              <w:rPr>
                <w:rFonts w:hint="eastAsia" w:ascii="宋体" w:hAnsi="宋体" w:eastAsia="宋体" w:cs="宋体"/>
                <w:snapToGrid/>
                <w:color w:val="auto"/>
                <w:kern w:val="2"/>
                <w:szCs w:val="21"/>
              </w:rPr>
              <w:t>≤1.6</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其余</w:t>
            </w:r>
            <w:r>
              <w:rPr>
                <w:rFonts w:ascii="Times New Roman" w:hAnsi="Times New Roman" w:eastAsia="宋体" w:cs="Times New Roman"/>
                <w:snapToGrid/>
                <w:color w:val="auto"/>
                <w:kern w:val="2"/>
                <w:szCs w:val="21"/>
              </w:rPr>
              <w:t>）</w:t>
            </w:r>
          </w:p>
          <w:p w14:paraId="053E781D">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钛合金：</w:t>
            </w:r>
            <w:r>
              <w:rPr>
                <w:rFonts w:hint="eastAsia" w:ascii="宋体" w:hAnsi="宋体" w:eastAsia="宋体" w:cs="宋体"/>
                <w:snapToGrid/>
                <w:color w:val="auto"/>
                <w:kern w:val="2"/>
                <w:szCs w:val="21"/>
              </w:rPr>
              <w:t>≤0.8</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钉头外表面</w:t>
            </w:r>
            <w:r>
              <w:rPr>
                <w:rFonts w:ascii="Times New Roman" w:hAnsi="Times New Roman" w:eastAsia="宋体" w:cs="Times New Roman"/>
                <w:snapToGrid/>
                <w:color w:val="auto"/>
                <w:kern w:val="2"/>
                <w:szCs w:val="21"/>
              </w:rPr>
              <w:t>）、</w:t>
            </w:r>
            <w:r>
              <w:rPr>
                <w:rFonts w:hint="eastAsia" w:ascii="宋体" w:hAnsi="宋体" w:eastAsia="宋体" w:cs="宋体"/>
                <w:snapToGrid/>
                <w:color w:val="auto"/>
                <w:kern w:val="2"/>
                <w:szCs w:val="21"/>
              </w:rPr>
              <w:t>≤3.2</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螺纹</w:t>
            </w:r>
            <w:r>
              <w:rPr>
                <w:rFonts w:ascii="Times New Roman" w:hAnsi="Times New Roman" w:eastAsia="宋体" w:cs="Times New Roman"/>
                <w:snapToGrid/>
                <w:color w:val="auto"/>
                <w:kern w:val="2"/>
                <w:szCs w:val="21"/>
              </w:rPr>
              <w:t>）、</w:t>
            </w:r>
            <w:r>
              <w:rPr>
                <w:rFonts w:hint="eastAsia" w:ascii="宋体" w:hAnsi="宋体" w:eastAsia="宋体" w:cs="宋体"/>
                <w:snapToGrid/>
                <w:color w:val="auto"/>
                <w:kern w:val="2"/>
                <w:szCs w:val="21"/>
              </w:rPr>
              <w:t>≤1.6</w:t>
            </w:r>
            <w:r>
              <w:rPr>
                <w:rFonts w:ascii="Times New Roman" w:hAnsi="Times New Roman" w:eastAsia="宋体" w:cs="Times New Roman"/>
                <w:snapToGrid/>
                <w:color w:val="auto"/>
                <w:kern w:val="2"/>
                <w:szCs w:val="21"/>
              </w:rPr>
              <w:t>μm（</w:t>
            </w:r>
            <w:r>
              <w:rPr>
                <w:rFonts w:hint="eastAsia" w:ascii="Times New Roman" w:hAnsi="Times New Roman" w:eastAsia="宋体" w:cs="Times New Roman"/>
                <w:snapToGrid/>
                <w:color w:val="auto"/>
                <w:kern w:val="2"/>
                <w:szCs w:val="21"/>
              </w:rPr>
              <w:t>其余</w:t>
            </w:r>
            <w:r>
              <w:rPr>
                <w:rFonts w:ascii="Times New Roman" w:hAnsi="Times New Roman" w:eastAsia="宋体" w:cs="Times New Roman"/>
                <w:snapToGrid/>
                <w:color w:val="auto"/>
                <w:kern w:val="2"/>
                <w:szCs w:val="21"/>
              </w:rPr>
              <w:t>）</w:t>
            </w:r>
          </w:p>
          <w:p w14:paraId="3C9EB79C">
            <w:pPr>
              <w:widowControl w:val="0"/>
              <w:kinsoku/>
              <w:autoSpaceDE/>
              <w:autoSpaceDN/>
              <w:adjustRightInd/>
              <w:snapToGrid/>
              <w:spacing w:line="260" w:lineRule="exact"/>
              <w:jc w:val="center"/>
              <w:textAlignment w:val="auto"/>
              <w:rPr>
                <w:rFonts w:ascii="Times New Roman" w:hAnsi="Times New Roman" w:eastAsia="宋体" w:cs="Times New Roman"/>
                <w:snapToGrid/>
                <w:color w:val="auto"/>
                <w:kern w:val="2"/>
                <w:szCs w:val="21"/>
              </w:rPr>
            </w:pPr>
          </w:p>
          <w:p w14:paraId="165AB946">
            <w:pPr>
              <w:widowControl w:val="0"/>
              <w:kinsoku/>
              <w:autoSpaceDE/>
              <w:autoSpaceDN/>
              <w:adjustRightInd/>
              <w:snapToGrid/>
              <w:spacing w:line="260" w:lineRule="exact"/>
              <w:jc w:val="center"/>
              <w:textAlignment w:val="auto"/>
              <w:rPr>
                <w:rFonts w:ascii="Times New Roman" w:hAnsi="Times New Roman" w:eastAsia="宋体" w:cs="Times New Roman"/>
                <w:snapToGrid/>
                <w:color w:val="auto"/>
                <w:kern w:val="2"/>
                <w:szCs w:val="21"/>
              </w:rPr>
            </w:pPr>
            <w:r>
              <w:rPr>
                <w:rFonts w:hint="eastAsia" w:ascii="Times New Roman" w:hAnsi="Times New Roman" w:eastAsia="宋体" w:cs="Times New Roman"/>
                <w:snapToGrid/>
                <w:color w:val="auto"/>
                <w:kern w:val="2"/>
                <w:szCs w:val="21"/>
              </w:rPr>
              <w:t>经特殊表面处理的表面粗糙度制造商自行制定</w:t>
            </w:r>
          </w:p>
        </w:tc>
        <w:tc>
          <w:tcPr>
            <w:tcW w:w="1719" w:type="dxa"/>
            <w:shd w:val="clear" w:color="auto" w:fill="auto"/>
            <w:vAlign w:val="center"/>
          </w:tcPr>
          <w:p w14:paraId="597D50D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采用样块比较法或电测法进行检验，电测法为仲裁检验法。采用电测法时，应按照 GB/T 10610 的规定进行。</w:t>
            </w:r>
          </w:p>
        </w:tc>
        <w:tc>
          <w:tcPr>
            <w:tcW w:w="1339" w:type="dxa"/>
            <w:shd w:val="clear" w:color="auto" w:fill="auto"/>
            <w:vAlign w:val="center"/>
          </w:tcPr>
          <w:p w14:paraId="0E8AED8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表面粗糙度应符合性能指标要求。</w:t>
            </w:r>
          </w:p>
        </w:tc>
        <w:tc>
          <w:tcPr>
            <w:tcW w:w="1308" w:type="dxa"/>
            <w:shd w:val="clear" w:color="auto" w:fill="auto"/>
            <w:vAlign w:val="center"/>
          </w:tcPr>
          <w:p w14:paraId="6CFCB2DC">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产品定型确认+出厂检验</w:t>
            </w:r>
          </w:p>
        </w:tc>
        <w:tc>
          <w:tcPr>
            <w:tcW w:w="2058" w:type="dxa"/>
            <w:shd w:val="clear" w:color="auto" w:fill="auto"/>
            <w:vAlign w:val="center"/>
          </w:tcPr>
          <w:p w14:paraId="690F6D37">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w:t>
            </w:r>
            <w:r>
              <w:rPr>
                <w:rFonts w:ascii="宋体" w:hAnsi="宋体" w:eastAsia="宋体" w:cs="Times New Roman"/>
                <w:snapToGrid/>
                <w:color w:val="auto"/>
                <w:kern w:val="2"/>
                <w:szCs w:val="21"/>
              </w:rPr>
              <w:t>3</w:t>
            </w:r>
            <w:r>
              <w:rPr>
                <w:rFonts w:hint="eastAsia" w:ascii="宋体" w:hAnsi="宋体" w:eastAsia="宋体" w:cs="Times New Roman"/>
                <w:snapToGrid/>
                <w:color w:val="auto"/>
                <w:kern w:val="2"/>
                <w:szCs w:val="21"/>
              </w:rPr>
              <w:t>件，1件不合格整批不合格</w:t>
            </w:r>
          </w:p>
        </w:tc>
        <w:tc>
          <w:tcPr>
            <w:tcW w:w="2849" w:type="dxa"/>
            <w:shd w:val="clear" w:color="auto" w:fill="auto"/>
            <w:vAlign w:val="center"/>
          </w:tcPr>
          <w:p w14:paraId="387D4E83">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生产工艺发生变化时，电测法确认；</w:t>
            </w:r>
          </w:p>
          <w:p w14:paraId="7216E73D">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其他检验时机可采用粗糙度样块比较法检验。</w:t>
            </w:r>
            <w:r>
              <w:rPr>
                <w:rFonts w:ascii="宋体" w:hAnsi="宋体" w:eastAsia="宋体" w:cs="Times New Roman"/>
                <w:snapToGrid/>
                <w:color w:val="auto"/>
                <w:kern w:val="2"/>
                <w:szCs w:val="21"/>
              </w:rPr>
              <w:t xml:space="preserve"> </w:t>
            </w:r>
          </w:p>
        </w:tc>
      </w:tr>
      <w:tr w14:paraId="7B7AD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4" w:hRule="atLeast"/>
          <w:jc w:val="center"/>
        </w:trPr>
        <w:tc>
          <w:tcPr>
            <w:tcW w:w="641" w:type="dxa"/>
            <w:vAlign w:val="center"/>
          </w:tcPr>
          <w:p w14:paraId="5CF047BC">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6</w:t>
            </w:r>
          </w:p>
        </w:tc>
        <w:tc>
          <w:tcPr>
            <w:tcW w:w="1198" w:type="dxa"/>
            <w:shd w:val="clear" w:color="auto" w:fill="auto"/>
            <w:vAlign w:val="center"/>
          </w:tcPr>
          <w:p w14:paraId="258FD11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耐腐蚀性能</w:t>
            </w:r>
          </w:p>
          <w:p w14:paraId="3EFF944E">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（不锈钢材质产品适用）</w:t>
            </w:r>
          </w:p>
        </w:tc>
        <w:tc>
          <w:tcPr>
            <w:tcW w:w="3859" w:type="dxa"/>
            <w:shd w:val="clear" w:color="auto" w:fill="auto"/>
            <w:vAlign w:val="center"/>
          </w:tcPr>
          <w:p w14:paraId="6CAE9FD9">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点蚀电位E</w:t>
            </w:r>
            <w:r>
              <w:rPr>
                <w:rFonts w:hint="eastAsia" w:ascii="宋体" w:hAnsi="宋体" w:eastAsia="宋体" w:cs="Times New Roman"/>
                <w:snapToGrid/>
                <w:color w:val="auto"/>
                <w:kern w:val="2"/>
                <w:szCs w:val="21"/>
                <w:vertAlign w:val="subscript"/>
              </w:rPr>
              <w:t>b</w:t>
            </w:r>
            <w:r>
              <w:rPr>
                <w:rFonts w:hint="eastAsia" w:ascii="宋体" w:hAnsi="宋体" w:eastAsia="宋体" w:cs="Times New Roman"/>
                <w:snapToGrid/>
                <w:color w:val="auto"/>
                <w:kern w:val="2"/>
                <w:szCs w:val="21"/>
              </w:rPr>
              <w:t>≥800mV</w:t>
            </w:r>
          </w:p>
        </w:tc>
        <w:tc>
          <w:tcPr>
            <w:tcW w:w="1719" w:type="dxa"/>
            <w:shd w:val="clear" w:color="auto" w:fill="auto"/>
            <w:vAlign w:val="center"/>
          </w:tcPr>
          <w:p w14:paraId="26FA6D5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1074规定的方法进行</w:t>
            </w:r>
          </w:p>
        </w:tc>
        <w:tc>
          <w:tcPr>
            <w:tcW w:w="1339" w:type="dxa"/>
            <w:shd w:val="clear" w:color="auto" w:fill="auto"/>
            <w:vAlign w:val="center"/>
          </w:tcPr>
          <w:p w14:paraId="719E90D7">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点蚀电位应符合性能指标要求</w:t>
            </w:r>
          </w:p>
        </w:tc>
        <w:tc>
          <w:tcPr>
            <w:tcW w:w="1308" w:type="dxa"/>
            <w:shd w:val="clear" w:color="auto" w:fill="auto"/>
            <w:vAlign w:val="center"/>
          </w:tcPr>
          <w:p w14:paraId="6E80C0FC">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原材料进货检查+产品定型确认+定期确认</w:t>
            </w:r>
          </w:p>
        </w:tc>
        <w:tc>
          <w:tcPr>
            <w:tcW w:w="2058" w:type="dxa"/>
            <w:shd w:val="clear" w:color="auto" w:fill="auto"/>
            <w:vAlign w:val="center"/>
          </w:tcPr>
          <w:p w14:paraId="4386D31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w:t>
            </w:r>
          </w:p>
        </w:tc>
        <w:tc>
          <w:tcPr>
            <w:tcW w:w="2849" w:type="dxa"/>
            <w:shd w:val="clear" w:color="auto" w:fill="auto"/>
            <w:vAlign w:val="center"/>
          </w:tcPr>
          <w:p w14:paraId="3C57B3B1">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349B16CE">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0435A397">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4E11B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3" w:hRule="atLeast"/>
          <w:jc w:val="center"/>
        </w:trPr>
        <w:tc>
          <w:tcPr>
            <w:tcW w:w="641" w:type="dxa"/>
            <w:vAlign w:val="center"/>
          </w:tcPr>
          <w:p w14:paraId="0F77B1F8">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7</w:t>
            </w:r>
          </w:p>
        </w:tc>
        <w:tc>
          <w:tcPr>
            <w:tcW w:w="1198" w:type="dxa"/>
            <w:shd w:val="clear" w:color="auto" w:fill="auto"/>
            <w:vAlign w:val="center"/>
          </w:tcPr>
          <w:p w14:paraId="776B8EE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表面处理</w:t>
            </w:r>
          </w:p>
          <w:p w14:paraId="7999203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（阳极氧化）</w:t>
            </w:r>
          </w:p>
        </w:tc>
        <w:tc>
          <w:tcPr>
            <w:tcW w:w="3859" w:type="dxa"/>
            <w:shd w:val="clear" w:color="auto" w:fill="auto"/>
            <w:vAlign w:val="center"/>
          </w:tcPr>
          <w:p w14:paraId="3C3E21D1">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接骨板经阳极氧化表面处理后</w:t>
            </w:r>
            <w:r>
              <w:rPr>
                <w:rFonts w:hint="eastAsia" w:ascii="宋体" w:hAnsi="宋体" w:eastAsia="宋体" w:cs="Times New Roman"/>
                <w:snapToGrid/>
                <w:color w:val="auto"/>
                <w:kern w:val="2"/>
                <w:szCs w:val="21"/>
              </w:rPr>
              <w:t>，</w:t>
            </w:r>
            <w:r>
              <w:rPr>
                <w:rFonts w:ascii="宋体" w:hAnsi="宋体" w:eastAsia="宋体" w:cs="Times New Roman"/>
                <w:snapToGrid/>
                <w:color w:val="auto"/>
                <w:kern w:val="2"/>
                <w:szCs w:val="21"/>
              </w:rPr>
              <w:t>应对其进行表面元素定性分析及细胞毒性的评价。</w:t>
            </w:r>
          </w:p>
        </w:tc>
        <w:tc>
          <w:tcPr>
            <w:tcW w:w="1719" w:type="dxa"/>
            <w:shd w:val="clear" w:color="auto" w:fill="auto"/>
            <w:vAlign w:val="center"/>
          </w:tcPr>
          <w:p w14:paraId="2055BD0C">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表面元素定性分析采用扫描电镜能谱仪的方法进行检验，细胞毒性按照GB/T16886.5的规定进行。</w:t>
            </w:r>
          </w:p>
        </w:tc>
        <w:tc>
          <w:tcPr>
            <w:tcW w:w="1339" w:type="dxa"/>
            <w:shd w:val="clear" w:color="auto" w:fill="auto"/>
            <w:vAlign w:val="center"/>
          </w:tcPr>
          <w:p w14:paraId="42FD1B4B">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经评价，应对人体是安全的</w:t>
            </w:r>
          </w:p>
        </w:tc>
        <w:tc>
          <w:tcPr>
            <w:tcW w:w="1308" w:type="dxa"/>
            <w:shd w:val="clear" w:color="auto" w:fill="auto"/>
            <w:vAlign w:val="center"/>
          </w:tcPr>
          <w:p w14:paraId="45F2E8D9">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产品定型确认+适时确认</w:t>
            </w:r>
          </w:p>
        </w:tc>
        <w:tc>
          <w:tcPr>
            <w:tcW w:w="2058" w:type="dxa"/>
            <w:shd w:val="clear" w:color="auto" w:fill="auto"/>
            <w:vAlign w:val="center"/>
          </w:tcPr>
          <w:p w14:paraId="6FCAAB05">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w:t>
            </w:r>
          </w:p>
        </w:tc>
        <w:tc>
          <w:tcPr>
            <w:tcW w:w="2849" w:type="dxa"/>
            <w:shd w:val="clear" w:color="auto" w:fill="auto"/>
            <w:vAlign w:val="center"/>
          </w:tcPr>
          <w:p w14:paraId="0F904D7F">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699468F3">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21A48465">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p w14:paraId="1FA2A99A">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建议定期进行</w:t>
            </w:r>
            <w:r>
              <w:rPr>
                <w:rFonts w:ascii="宋体" w:hAnsi="宋体" w:eastAsia="宋体" w:cs="Times New Roman"/>
                <w:snapToGrid/>
                <w:color w:val="auto"/>
                <w:kern w:val="2"/>
                <w:szCs w:val="21"/>
              </w:rPr>
              <w:t>表面元素定性分析</w:t>
            </w:r>
            <w:r>
              <w:rPr>
                <w:rFonts w:hint="eastAsia" w:ascii="宋体" w:hAnsi="宋体" w:eastAsia="宋体" w:cs="Times New Roman"/>
                <w:snapToGrid/>
                <w:color w:val="auto"/>
                <w:kern w:val="2"/>
                <w:szCs w:val="21"/>
              </w:rPr>
              <w:t>评估。</w:t>
            </w:r>
          </w:p>
        </w:tc>
      </w:tr>
      <w:tr w14:paraId="0873A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9" w:hRule="atLeast"/>
          <w:jc w:val="center"/>
        </w:trPr>
        <w:tc>
          <w:tcPr>
            <w:tcW w:w="641" w:type="dxa"/>
            <w:vAlign w:val="center"/>
          </w:tcPr>
          <w:p w14:paraId="1315C3E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8</w:t>
            </w:r>
          </w:p>
        </w:tc>
        <w:tc>
          <w:tcPr>
            <w:tcW w:w="1198" w:type="dxa"/>
            <w:shd w:val="clear" w:color="auto" w:fill="auto"/>
            <w:vAlign w:val="center"/>
          </w:tcPr>
          <w:p w14:paraId="1E4FF72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材料</w:t>
            </w:r>
          </w:p>
        </w:tc>
        <w:tc>
          <w:tcPr>
            <w:tcW w:w="3859" w:type="dxa"/>
            <w:shd w:val="clear" w:color="auto" w:fill="auto"/>
            <w:vAlign w:val="center"/>
          </w:tcPr>
          <w:p w14:paraId="14F72FCB">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不锈钢材质产品应符合GB 4234或YY 0605.9规定的材料；</w:t>
            </w:r>
          </w:p>
          <w:p w14:paraId="461AAD76">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钛合金材质产品应符合GB/T 13810或GB 23102规定的材料；</w:t>
            </w:r>
          </w:p>
          <w:p w14:paraId="2C1A55A9">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或其它经评价是安全的材料。</w:t>
            </w:r>
          </w:p>
          <w:p w14:paraId="5B36309F">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说明：至少包含化学成分、显微组织、拉伸强度等项目指标</w:t>
            </w:r>
          </w:p>
        </w:tc>
        <w:tc>
          <w:tcPr>
            <w:tcW w:w="1719" w:type="dxa"/>
            <w:shd w:val="clear" w:color="auto" w:fill="auto"/>
            <w:vAlign w:val="center"/>
          </w:tcPr>
          <w:p w14:paraId="21EF916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按相应标准测试</w:t>
            </w:r>
          </w:p>
        </w:tc>
        <w:tc>
          <w:tcPr>
            <w:tcW w:w="1339" w:type="dxa"/>
            <w:shd w:val="clear" w:color="auto" w:fill="auto"/>
            <w:vAlign w:val="center"/>
          </w:tcPr>
          <w:p w14:paraId="51D0F729">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w:t>
            </w:r>
          </w:p>
        </w:tc>
        <w:tc>
          <w:tcPr>
            <w:tcW w:w="1308" w:type="dxa"/>
            <w:shd w:val="clear" w:color="auto" w:fill="auto"/>
            <w:vAlign w:val="center"/>
          </w:tcPr>
          <w:p w14:paraId="046E875B">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原材料进货检查+定期确认</w:t>
            </w:r>
          </w:p>
        </w:tc>
        <w:tc>
          <w:tcPr>
            <w:tcW w:w="2058" w:type="dxa"/>
            <w:shd w:val="clear" w:color="auto" w:fill="auto"/>
            <w:vAlign w:val="center"/>
          </w:tcPr>
          <w:p w14:paraId="2ACEFB9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w:t>
            </w:r>
          </w:p>
        </w:tc>
        <w:tc>
          <w:tcPr>
            <w:tcW w:w="2849" w:type="dxa"/>
            <w:shd w:val="clear" w:color="auto" w:fill="auto"/>
            <w:vAlign w:val="center"/>
          </w:tcPr>
          <w:p w14:paraId="517032ED">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按材料炉号控制，数据可引用第三方检验报告，至少包含化学成分、显微组织、拉伸强度。</w:t>
            </w:r>
          </w:p>
          <w:p w14:paraId="1DF1B5C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化学成分和显微组织应在最终产品上取样。</w:t>
            </w:r>
          </w:p>
        </w:tc>
      </w:tr>
      <w:tr w14:paraId="632D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8" w:hRule="atLeast"/>
          <w:jc w:val="center"/>
        </w:trPr>
        <w:tc>
          <w:tcPr>
            <w:tcW w:w="641" w:type="dxa"/>
            <w:vAlign w:val="center"/>
          </w:tcPr>
          <w:p w14:paraId="2CEF51F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9</w:t>
            </w:r>
          </w:p>
        </w:tc>
        <w:tc>
          <w:tcPr>
            <w:tcW w:w="1198" w:type="dxa"/>
            <w:shd w:val="clear" w:color="auto" w:fill="auto"/>
            <w:vAlign w:val="center"/>
          </w:tcPr>
          <w:p w14:paraId="30A69690">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弯曲强度和等效弯曲刚度</w:t>
            </w:r>
          </w:p>
          <w:p w14:paraId="23DAAA4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（接骨板适用）</w:t>
            </w:r>
          </w:p>
        </w:tc>
        <w:tc>
          <w:tcPr>
            <w:tcW w:w="3859" w:type="dxa"/>
            <w:shd w:val="clear" w:color="auto" w:fill="auto"/>
            <w:vAlign w:val="center"/>
          </w:tcPr>
          <w:p w14:paraId="1814613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对于符合YY/T0342《外科植入物接骨板弯曲强度和刚度的测定标准》规定的金属接骨板，需规定其弯曲强度和等效弯曲刚度或弯曲结构刚度。</w:t>
            </w:r>
          </w:p>
          <w:p w14:paraId="5EBA894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对于不符合YY/T0342标准规定的金属接骨板，需在产品技术要求中明示不适用的理由。</w:t>
            </w:r>
          </w:p>
          <w:p w14:paraId="03D5F875">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ascii="宋体" w:hAnsi="宋体" w:eastAsia="宋体" w:cs="Times New Roman"/>
                <w:snapToGrid/>
                <w:color w:val="auto"/>
                <w:kern w:val="2"/>
                <w:szCs w:val="21"/>
              </w:rPr>
              <w:t>金属角度固定器压弯性能</w:t>
            </w:r>
            <w:r>
              <w:rPr>
                <w:rFonts w:hint="eastAsia" w:ascii="宋体" w:hAnsi="宋体" w:eastAsia="宋体" w:cs="Times New Roman"/>
                <w:snapToGrid/>
                <w:color w:val="auto"/>
                <w:kern w:val="2"/>
                <w:szCs w:val="21"/>
              </w:rPr>
              <w:t>（</w:t>
            </w:r>
            <w:r>
              <w:rPr>
                <w:rFonts w:ascii="宋体" w:hAnsi="宋体" w:eastAsia="宋体" w:cs="Times New Roman"/>
                <w:snapToGrid/>
                <w:color w:val="auto"/>
                <w:kern w:val="2"/>
                <w:szCs w:val="21"/>
              </w:rPr>
              <w:t>压弯刚度和压弯强度</w:t>
            </w:r>
            <w:r>
              <w:rPr>
                <w:rFonts w:hint="eastAsia" w:ascii="宋体" w:hAnsi="宋体" w:eastAsia="宋体" w:cs="Times New Roman"/>
                <w:snapToGrid/>
                <w:color w:val="auto"/>
                <w:kern w:val="2"/>
                <w:szCs w:val="21"/>
              </w:rPr>
              <w:t>）、</w:t>
            </w:r>
            <w:r>
              <w:rPr>
                <w:rFonts w:ascii="宋体" w:hAnsi="宋体" w:eastAsia="宋体" w:cs="Times New Roman"/>
                <w:snapToGrid/>
                <w:color w:val="auto"/>
                <w:kern w:val="2"/>
                <w:szCs w:val="21"/>
              </w:rPr>
              <w:t>侧板弯曲性能</w:t>
            </w:r>
            <w:r>
              <w:rPr>
                <w:rFonts w:hint="eastAsia" w:ascii="宋体" w:hAnsi="宋体" w:eastAsia="宋体" w:cs="Times New Roman"/>
                <w:snapToGrid/>
                <w:color w:val="auto"/>
                <w:kern w:val="2"/>
                <w:szCs w:val="21"/>
              </w:rPr>
              <w:t>（</w:t>
            </w:r>
            <w:r>
              <w:rPr>
                <w:rFonts w:ascii="宋体" w:hAnsi="宋体" w:eastAsia="宋体" w:cs="Times New Roman"/>
                <w:snapToGrid/>
                <w:color w:val="auto"/>
                <w:kern w:val="2"/>
                <w:szCs w:val="21"/>
              </w:rPr>
              <w:t>弯曲刚度、弯曲强度和等效弯曲刚度</w:t>
            </w:r>
            <w:r>
              <w:rPr>
                <w:rFonts w:hint="eastAsia" w:ascii="宋体" w:hAnsi="宋体" w:eastAsia="宋体" w:cs="Times New Roman"/>
                <w:snapToGrid/>
                <w:color w:val="auto"/>
                <w:kern w:val="2"/>
                <w:szCs w:val="21"/>
              </w:rPr>
              <w:t>）</w:t>
            </w:r>
          </w:p>
        </w:tc>
        <w:tc>
          <w:tcPr>
            <w:tcW w:w="1719" w:type="dxa"/>
            <w:shd w:val="clear" w:color="auto" w:fill="auto"/>
            <w:vAlign w:val="center"/>
          </w:tcPr>
          <w:p w14:paraId="6FFCE5CC">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0342的规定进行</w:t>
            </w:r>
          </w:p>
        </w:tc>
        <w:tc>
          <w:tcPr>
            <w:tcW w:w="1339" w:type="dxa"/>
            <w:shd w:val="clear" w:color="auto" w:fill="auto"/>
            <w:vAlign w:val="center"/>
          </w:tcPr>
          <w:p w14:paraId="5D8088A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弯曲强度和等效弯曲刚度应符合产品技术要求规定</w:t>
            </w:r>
          </w:p>
        </w:tc>
        <w:tc>
          <w:tcPr>
            <w:tcW w:w="1308" w:type="dxa"/>
            <w:shd w:val="clear" w:color="auto" w:fill="auto"/>
            <w:vAlign w:val="center"/>
          </w:tcPr>
          <w:p w14:paraId="04BFC51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产品定型确认+定期确认</w:t>
            </w:r>
          </w:p>
        </w:tc>
        <w:tc>
          <w:tcPr>
            <w:tcW w:w="2058" w:type="dxa"/>
            <w:shd w:val="clear" w:color="auto" w:fill="auto"/>
            <w:vAlign w:val="center"/>
          </w:tcPr>
          <w:p w14:paraId="6F1EBE1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shd w:val="clear" w:color="auto" w:fill="auto"/>
            <w:vAlign w:val="center"/>
          </w:tcPr>
          <w:p w14:paraId="01E2994B">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同型号系列的接骨板一年内至少确认一次；</w:t>
            </w:r>
          </w:p>
          <w:p w14:paraId="24AECB4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可用同炉号材料同工艺的成品确认（不少于一个规格）；</w:t>
            </w:r>
          </w:p>
          <w:p w14:paraId="765ED767">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7119D4C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341C8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5" w:hRule="atLeast"/>
          <w:jc w:val="center"/>
        </w:trPr>
        <w:tc>
          <w:tcPr>
            <w:tcW w:w="641" w:type="dxa"/>
            <w:shd w:val="clear" w:color="auto" w:fill="auto"/>
            <w:vAlign w:val="center"/>
          </w:tcPr>
          <w:p w14:paraId="5C349A5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10</w:t>
            </w:r>
          </w:p>
        </w:tc>
        <w:tc>
          <w:tcPr>
            <w:tcW w:w="1198" w:type="dxa"/>
            <w:shd w:val="clear" w:color="auto" w:fill="auto"/>
            <w:vAlign w:val="center"/>
          </w:tcPr>
          <w:p w14:paraId="0F7E8218">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疲劳性能</w:t>
            </w:r>
          </w:p>
          <w:p w14:paraId="6BB46E72">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（接骨板适用）</w:t>
            </w:r>
          </w:p>
        </w:tc>
        <w:tc>
          <w:tcPr>
            <w:tcW w:w="3859" w:type="dxa"/>
            <w:shd w:val="clear" w:color="auto" w:fill="auto"/>
            <w:vAlign w:val="center"/>
          </w:tcPr>
          <w:p w14:paraId="27FC5C8F">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应对接骨板在10</w:t>
            </w:r>
            <w:r>
              <w:rPr>
                <w:rFonts w:hint="eastAsia" w:ascii="宋体" w:hAnsi="宋体" w:eastAsia="宋体" w:cs="Times New Roman"/>
                <w:snapToGrid/>
                <w:color w:val="auto"/>
                <w:kern w:val="2"/>
                <w:szCs w:val="21"/>
                <w:vertAlign w:val="superscript"/>
              </w:rPr>
              <w:t>6</w:t>
            </w:r>
            <w:r>
              <w:rPr>
                <w:rFonts w:hint="eastAsia" w:ascii="宋体" w:hAnsi="宋体" w:eastAsia="宋体" w:cs="Times New Roman"/>
                <w:snapToGrid/>
                <w:color w:val="auto"/>
                <w:kern w:val="2"/>
                <w:szCs w:val="21"/>
              </w:rPr>
              <w:t>周期载荷条件下的疲劳强度进行规定</w:t>
            </w:r>
          </w:p>
        </w:tc>
        <w:tc>
          <w:tcPr>
            <w:tcW w:w="1719" w:type="dxa"/>
            <w:shd w:val="clear" w:color="auto" w:fill="auto"/>
            <w:vAlign w:val="center"/>
          </w:tcPr>
          <w:p w14:paraId="1E0B661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1503的规定进行</w:t>
            </w:r>
          </w:p>
        </w:tc>
        <w:tc>
          <w:tcPr>
            <w:tcW w:w="1339" w:type="dxa"/>
            <w:shd w:val="clear" w:color="auto" w:fill="auto"/>
            <w:vAlign w:val="center"/>
          </w:tcPr>
          <w:p w14:paraId="38E8D19C">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接骨板疲劳强度应符合产品技术要求规定</w:t>
            </w:r>
          </w:p>
        </w:tc>
        <w:tc>
          <w:tcPr>
            <w:tcW w:w="1308" w:type="dxa"/>
            <w:shd w:val="clear" w:color="auto" w:fill="auto"/>
            <w:vAlign w:val="center"/>
          </w:tcPr>
          <w:p w14:paraId="46A34306">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产品定型确认+适时确认</w:t>
            </w:r>
          </w:p>
        </w:tc>
        <w:tc>
          <w:tcPr>
            <w:tcW w:w="2058" w:type="dxa"/>
            <w:shd w:val="clear" w:color="auto" w:fill="auto"/>
            <w:vAlign w:val="center"/>
          </w:tcPr>
          <w:p w14:paraId="25C604F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shd w:val="clear" w:color="auto" w:fill="auto"/>
            <w:vAlign w:val="center"/>
          </w:tcPr>
          <w:p w14:paraId="4D1D1939">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08827C77">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200336B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090DA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1" w:hRule="atLeast"/>
          <w:jc w:val="center"/>
        </w:trPr>
        <w:tc>
          <w:tcPr>
            <w:tcW w:w="641" w:type="dxa"/>
            <w:vAlign w:val="center"/>
          </w:tcPr>
          <w:p w14:paraId="504106B9">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11</w:t>
            </w:r>
          </w:p>
        </w:tc>
        <w:tc>
          <w:tcPr>
            <w:tcW w:w="1198" w:type="dxa"/>
            <w:vAlign w:val="center"/>
          </w:tcPr>
          <w:p w14:paraId="08DBBC8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最大扭矩和断裂扭转角</w:t>
            </w:r>
          </w:p>
          <w:p w14:paraId="24275AF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（接骨螺钉适用）</w:t>
            </w:r>
          </w:p>
        </w:tc>
        <w:tc>
          <w:tcPr>
            <w:tcW w:w="3859" w:type="dxa"/>
            <w:vAlign w:val="center"/>
          </w:tcPr>
          <w:p w14:paraId="0A13863B">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选用GB 4234中规定的不锈钢材料制造的不同螺纹型式和标称直径的球形下表面接骨螺钉，最大扭矩和断裂扭转角应符合YY 0018-2016中表11的规定；</w:t>
            </w:r>
          </w:p>
          <w:p w14:paraId="362EA6A0">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企业应对其他接骨螺钉最大扭矩和断裂扭转角进行规定。</w:t>
            </w:r>
          </w:p>
          <w:p w14:paraId="53FA0565">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p>
        </w:tc>
        <w:tc>
          <w:tcPr>
            <w:tcW w:w="1719" w:type="dxa"/>
            <w:vAlign w:val="center"/>
          </w:tcPr>
          <w:p w14:paraId="746D3D2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0662的规定进行，推荐采用固定角速度3r/min，以接骨螺钉旋入方向旋转至接骨螺钉发生断裂，记录最大扭矩和断裂扭转角。</w:t>
            </w:r>
          </w:p>
        </w:tc>
        <w:tc>
          <w:tcPr>
            <w:tcW w:w="1339" w:type="dxa"/>
            <w:vAlign w:val="center"/>
          </w:tcPr>
          <w:p w14:paraId="60AD22BD">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最大扭矩和断裂扭转角应符合产品技术要求规定</w:t>
            </w:r>
          </w:p>
        </w:tc>
        <w:tc>
          <w:tcPr>
            <w:tcW w:w="1308" w:type="dxa"/>
            <w:vAlign w:val="center"/>
          </w:tcPr>
          <w:p w14:paraId="6EB06D33">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出厂检验</w:t>
            </w:r>
          </w:p>
        </w:tc>
        <w:tc>
          <w:tcPr>
            <w:tcW w:w="2058" w:type="dxa"/>
            <w:vAlign w:val="center"/>
          </w:tcPr>
          <w:p w14:paraId="24B35FFD">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每批成品抽检5件（不锈钢材质）</w:t>
            </w:r>
          </w:p>
          <w:p w14:paraId="594C8E5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或每批成品抽检3件（其他材质），1件不合格整批不合格</w:t>
            </w:r>
          </w:p>
        </w:tc>
        <w:tc>
          <w:tcPr>
            <w:tcW w:w="2849" w:type="dxa"/>
            <w:vAlign w:val="center"/>
          </w:tcPr>
          <w:p w14:paraId="52DFC821">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可引用一年内同型号系列且同直径的螺钉检测数据。</w:t>
            </w:r>
          </w:p>
        </w:tc>
      </w:tr>
      <w:tr w14:paraId="5E964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3" w:hRule="atLeast"/>
          <w:jc w:val="center"/>
        </w:trPr>
        <w:tc>
          <w:tcPr>
            <w:tcW w:w="641" w:type="dxa"/>
            <w:vAlign w:val="center"/>
          </w:tcPr>
          <w:p w14:paraId="0B47E252">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12</w:t>
            </w:r>
          </w:p>
        </w:tc>
        <w:tc>
          <w:tcPr>
            <w:tcW w:w="1198" w:type="dxa"/>
            <w:vAlign w:val="center"/>
          </w:tcPr>
          <w:p w14:paraId="5B0DCF6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轴向拔出力</w:t>
            </w:r>
          </w:p>
          <w:p w14:paraId="3C834259">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（接骨螺钉适用）</w:t>
            </w:r>
          </w:p>
        </w:tc>
        <w:tc>
          <w:tcPr>
            <w:tcW w:w="3859" w:type="dxa"/>
            <w:vAlign w:val="center"/>
          </w:tcPr>
          <w:p w14:paraId="5F558D94">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应对接骨螺钉的轴向拔出力进行规定</w:t>
            </w:r>
          </w:p>
          <w:p w14:paraId="19D7E205">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p>
        </w:tc>
        <w:tc>
          <w:tcPr>
            <w:tcW w:w="1719" w:type="dxa"/>
            <w:vAlign w:val="center"/>
          </w:tcPr>
          <w:p w14:paraId="3B91C5C1">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1504的规定进行</w:t>
            </w:r>
          </w:p>
        </w:tc>
        <w:tc>
          <w:tcPr>
            <w:tcW w:w="1339" w:type="dxa"/>
            <w:vAlign w:val="center"/>
          </w:tcPr>
          <w:p w14:paraId="06D84436">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接骨螺钉的轴向拔出力应符合产品技术要求规定</w:t>
            </w:r>
          </w:p>
        </w:tc>
        <w:tc>
          <w:tcPr>
            <w:tcW w:w="1308" w:type="dxa"/>
            <w:vAlign w:val="center"/>
          </w:tcPr>
          <w:p w14:paraId="33BFD11D">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产品定型确认+定期确认</w:t>
            </w:r>
          </w:p>
        </w:tc>
        <w:tc>
          <w:tcPr>
            <w:tcW w:w="2058" w:type="dxa"/>
            <w:vAlign w:val="center"/>
          </w:tcPr>
          <w:p w14:paraId="3E4A481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2477F36D">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一年内至少确认一次（可引用同型号系列且同直径的螺钉数据）；</w:t>
            </w:r>
          </w:p>
          <w:p w14:paraId="0D99441B">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3E1645DB">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191CA6F2">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4EA75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jc w:val="center"/>
        </w:trPr>
        <w:tc>
          <w:tcPr>
            <w:tcW w:w="641" w:type="dxa"/>
            <w:vAlign w:val="center"/>
          </w:tcPr>
          <w:p w14:paraId="2FC6A00E">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13</w:t>
            </w:r>
          </w:p>
        </w:tc>
        <w:tc>
          <w:tcPr>
            <w:tcW w:w="1198" w:type="dxa"/>
            <w:vAlign w:val="center"/>
          </w:tcPr>
          <w:p w14:paraId="1B5AB8B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旋入扭矩和旋出扭矩</w:t>
            </w:r>
          </w:p>
          <w:p w14:paraId="62C3CCA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（接骨螺钉适用）</w:t>
            </w:r>
          </w:p>
        </w:tc>
        <w:tc>
          <w:tcPr>
            <w:tcW w:w="3859" w:type="dxa"/>
            <w:vAlign w:val="center"/>
          </w:tcPr>
          <w:p w14:paraId="36B05422">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应对接骨螺钉的旋入扭矩和旋出扭矩进行规定</w:t>
            </w:r>
          </w:p>
          <w:p w14:paraId="4D016F0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p>
        </w:tc>
        <w:tc>
          <w:tcPr>
            <w:tcW w:w="1719" w:type="dxa"/>
            <w:vAlign w:val="center"/>
          </w:tcPr>
          <w:p w14:paraId="16309F2F">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1506的规定进行</w:t>
            </w:r>
          </w:p>
        </w:tc>
        <w:tc>
          <w:tcPr>
            <w:tcW w:w="1339" w:type="dxa"/>
            <w:vAlign w:val="center"/>
          </w:tcPr>
          <w:p w14:paraId="2A9EFF96">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接骨螺钉的旋入扭矩和旋出扭矩应符合产品技术要求规定</w:t>
            </w:r>
          </w:p>
        </w:tc>
        <w:tc>
          <w:tcPr>
            <w:tcW w:w="1308" w:type="dxa"/>
            <w:vAlign w:val="center"/>
          </w:tcPr>
          <w:p w14:paraId="4341A0C3">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产品定型确认+适时确认</w:t>
            </w:r>
          </w:p>
        </w:tc>
        <w:tc>
          <w:tcPr>
            <w:tcW w:w="2058" w:type="dxa"/>
            <w:vAlign w:val="center"/>
          </w:tcPr>
          <w:p w14:paraId="32975DFC">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78A8BE81">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6B127E7D">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2BE2DC38">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113C7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0" w:hRule="atLeast"/>
          <w:jc w:val="center"/>
        </w:trPr>
        <w:tc>
          <w:tcPr>
            <w:tcW w:w="641" w:type="dxa"/>
            <w:vAlign w:val="center"/>
          </w:tcPr>
          <w:p w14:paraId="02FBDDA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14</w:t>
            </w:r>
          </w:p>
        </w:tc>
        <w:tc>
          <w:tcPr>
            <w:tcW w:w="1198" w:type="dxa"/>
            <w:vAlign w:val="center"/>
          </w:tcPr>
          <w:p w14:paraId="5FE6C6CD">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自攻性能</w:t>
            </w:r>
          </w:p>
          <w:p w14:paraId="59458A24">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（接骨螺钉适用）</w:t>
            </w:r>
          </w:p>
        </w:tc>
        <w:tc>
          <w:tcPr>
            <w:tcW w:w="3859" w:type="dxa"/>
            <w:vAlign w:val="center"/>
          </w:tcPr>
          <w:p w14:paraId="566E3B87">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应对接骨螺钉的自攻性能进行规定</w:t>
            </w:r>
          </w:p>
          <w:p w14:paraId="1525B6D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p>
        </w:tc>
        <w:tc>
          <w:tcPr>
            <w:tcW w:w="1719" w:type="dxa"/>
            <w:vAlign w:val="center"/>
          </w:tcPr>
          <w:p w14:paraId="0547A55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按YY/T 1505的规定进行</w:t>
            </w:r>
          </w:p>
        </w:tc>
        <w:tc>
          <w:tcPr>
            <w:tcW w:w="1339" w:type="dxa"/>
            <w:vAlign w:val="center"/>
          </w:tcPr>
          <w:p w14:paraId="03425B7D">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接骨螺钉的自攻性能应符合产品技术要求规定</w:t>
            </w:r>
          </w:p>
        </w:tc>
        <w:tc>
          <w:tcPr>
            <w:tcW w:w="1308" w:type="dxa"/>
            <w:vAlign w:val="center"/>
          </w:tcPr>
          <w:p w14:paraId="30DE22E8">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产品定型确认+适时确认</w:t>
            </w:r>
          </w:p>
        </w:tc>
        <w:tc>
          <w:tcPr>
            <w:tcW w:w="2058" w:type="dxa"/>
            <w:vAlign w:val="center"/>
          </w:tcPr>
          <w:p w14:paraId="42F54C0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270514B8">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更换产品原材料或供应商时确认；</w:t>
            </w:r>
          </w:p>
          <w:p w14:paraId="7E37BE1C">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生产工艺发生变化时确认；</w:t>
            </w:r>
          </w:p>
          <w:p w14:paraId="399BC702">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发生不良事件时确认（按不良事件调查结果确定）。</w:t>
            </w:r>
          </w:p>
        </w:tc>
      </w:tr>
      <w:tr w14:paraId="6FD11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5" w:hRule="atLeast"/>
          <w:jc w:val="center"/>
        </w:trPr>
        <w:tc>
          <w:tcPr>
            <w:tcW w:w="641" w:type="dxa"/>
            <w:vAlign w:val="center"/>
          </w:tcPr>
          <w:p w14:paraId="7D0A2E6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15</w:t>
            </w:r>
          </w:p>
        </w:tc>
        <w:tc>
          <w:tcPr>
            <w:tcW w:w="1198" w:type="dxa"/>
            <w:vAlign w:val="center"/>
          </w:tcPr>
          <w:p w14:paraId="4173D553">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配合</w:t>
            </w:r>
          </w:p>
          <w:p w14:paraId="37CB5452">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性能</w:t>
            </w:r>
          </w:p>
        </w:tc>
        <w:tc>
          <w:tcPr>
            <w:tcW w:w="3859" w:type="dxa"/>
            <w:vAlign w:val="center"/>
          </w:tcPr>
          <w:p w14:paraId="267DEE64">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锁定型金属接骨板系统中锁定接骨板与锁定接骨螺钉的配合性能。接骨板非锁定孔与配合使用的非锁定型接骨螺钉的配合性能。</w:t>
            </w:r>
          </w:p>
        </w:tc>
        <w:tc>
          <w:tcPr>
            <w:tcW w:w="1719" w:type="dxa"/>
            <w:vAlign w:val="center"/>
          </w:tcPr>
          <w:p w14:paraId="704E7E70">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仿使用</w:t>
            </w:r>
          </w:p>
        </w:tc>
        <w:tc>
          <w:tcPr>
            <w:tcW w:w="1339" w:type="dxa"/>
            <w:vAlign w:val="center"/>
          </w:tcPr>
          <w:p w14:paraId="298AFC7A">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配合良好</w:t>
            </w:r>
          </w:p>
        </w:tc>
        <w:tc>
          <w:tcPr>
            <w:tcW w:w="1308" w:type="dxa"/>
            <w:vAlign w:val="center"/>
          </w:tcPr>
          <w:p w14:paraId="16B398AA">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产品定型确认+首件检验+出厂检验</w:t>
            </w:r>
          </w:p>
        </w:tc>
        <w:tc>
          <w:tcPr>
            <w:tcW w:w="2058" w:type="dxa"/>
            <w:vAlign w:val="center"/>
          </w:tcPr>
          <w:p w14:paraId="59B56249">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每批成品抽检</w:t>
            </w:r>
            <w:r>
              <w:rPr>
                <w:rFonts w:ascii="宋体" w:hAnsi="宋体" w:eastAsia="宋体" w:cs="Times New Roman"/>
                <w:snapToGrid/>
                <w:color w:val="auto"/>
                <w:kern w:val="2"/>
                <w:szCs w:val="21"/>
              </w:rPr>
              <w:t>3</w:t>
            </w:r>
            <w:r>
              <w:rPr>
                <w:rFonts w:hint="eastAsia" w:ascii="宋体" w:hAnsi="宋体" w:eastAsia="宋体" w:cs="Times New Roman"/>
                <w:snapToGrid/>
                <w:color w:val="auto"/>
                <w:kern w:val="2"/>
                <w:szCs w:val="21"/>
              </w:rPr>
              <w:t>件，1件不合格整批不合格</w:t>
            </w:r>
          </w:p>
        </w:tc>
        <w:tc>
          <w:tcPr>
            <w:tcW w:w="2849" w:type="dxa"/>
            <w:vAlign w:val="center"/>
          </w:tcPr>
          <w:p w14:paraId="080E537C">
            <w:pPr>
              <w:widowControl w:val="0"/>
              <w:kinsoku/>
              <w:autoSpaceDE/>
              <w:autoSpaceDN/>
              <w:adjustRightInd/>
              <w:snapToGrid/>
              <w:spacing w:line="260" w:lineRule="exact"/>
              <w:jc w:val="left"/>
              <w:textAlignment w:val="auto"/>
              <w:rPr>
                <w:rFonts w:ascii="宋体" w:hAnsi="宋体" w:eastAsia="宋体" w:cs="Times New Roman"/>
                <w:snapToGrid/>
                <w:color w:val="auto"/>
                <w:kern w:val="2"/>
                <w:szCs w:val="21"/>
              </w:rPr>
            </w:pPr>
          </w:p>
        </w:tc>
      </w:tr>
      <w:tr w14:paraId="07459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641" w:type="dxa"/>
            <w:vAlign w:val="center"/>
          </w:tcPr>
          <w:p w14:paraId="5AE8833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16</w:t>
            </w:r>
          </w:p>
        </w:tc>
        <w:tc>
          <w:tcPr>
            <w:tcW w:w="1198" w:type="dxa"/>
            <w:vAlign w:val="center"/>
          </w:tcPr>
          <w:p w14:paraId="0CBCA6AD">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无菌</w:t>
            </w:r>
          </w:p>
          <w:p w14:paraId="0F46FC91">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（无菌交付适用）</w:t>
            </w:r>
          </w:p>
        </w:tc>
        <w:tc>
          <w:tcPr>
            <w:tcW w:w="3859" w:type="dxa"/>
            <w:vAlign w:val="center"/>
          </w:tcPr>
          <w:p w14:paraId="1D524838">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产品应无菌</w:t>
            </w:r>
          </w:p>
        </w:tc>
        <w:tc>
          <w:tcPr>
            <w:tcW w:w="1719" w:type="dxa"/>
            <w:vAlign w:val="center"/>
          </w:tcPr>
          <w:p w14:paraId="1AC13B4F">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《中华人民共和国药典》（2025版）</w:t>
            </w:r>
          </w:p>
        </w:tc>
        <w:tc>
          <w:tcPr>
            <w:tcW w:w="1339" w:type="dxa"/>
            <w:vAlign w:val="center"/>
          </w:tcPr>
          <w:p w14:paraId="2A3279B8">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无菌生长</w:t>
            </w:r>
          </w:p>
        </w:tc>
        <w:tc>
          <w:tcPr>
            <w:tcW w:w="1308" w:type="dxa"/>
            <w:vAlign w:val="center"/>
          </w:tcPr>
          <w:p w14:paraId="60EE52DE">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工艺确认+出厂检验</w:t>
            </w:r>
          </w:p>
        </w:tc>
        <w:tc>
          <w:tcPr>
            <w:tcW w:w="2058" w:type="dxa"/>
            <w:vAlign w:val="center"/>
          </w:tcPr>
          <w:p w14:paraId="3A3F418E">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708087AF">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p>
        </w:tc>
      </w:tr>
      <w:tr w14:paraId="47334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2" w:hRule="atLeast"/>
          <w:jc w:val="center"/>
        </w:trPr>
        <w:tc>
          <w:tcPr>
            <w:tcW w:w="641" w:type="dxa"/>
            <w:vAlign w:val="center"/>
          </w:tcPr>
          <w:p w14:paraId="0A1A6532">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17</w:t>
            </w:r>
          </w:p>
        </w:tc>
        <w:tc>
          <w:tcPr>
            <w:tcW w:w="1198" w:type="dxa"/>
            <w:vAlign w:val="center"/>
          </w:tcPr>
          <w:p w14:paraId="6A63382F">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环氧乙烷残留</w:t>
            </w:r>
          </w:p>
          <w:p w14:paraId="05E7EC30">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（如适用）</w:t>
            </w:r>
          </w:p>
        </w:tc>
        <w:tc>
          <w:tcPr>
            <w:tcW w:w="3859" w:type="dxa"/>
            <w:vAlign w:val="center"/>
          </w:tcPr>
          <w:p w14:paraId="11EC8544">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需对允许的残留量进行规定</w:t>
            </w:r>
          </w:p>
        </w:tc>
        <w:tc>
          <w:tcPr>
            <w:tcW w:w="1719" w:type="dxa"/>
            <w:vAlign w:val="center"/>
          </w:tcPr>
          <w:p w14:paraId="1D10E187">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lang w:eastAsia="zh-CN"/>
              </w:rPr>
              <w:t>标准方法，</w:t>
            </w:r>
            <w:r>
              <w:rPr>
                <w:rFonts w:ascii="宋体" w:hAnsi="宋体" w:eastAsia="宋体" w:cs="Times New Roman"/>
                <w:snapToGrid/>
                <w:color w:val="auto"/>
                <w:kern w:val="2"/>
                <w:szCs w:val="21"/>
              </w:rPr>
              <w:t>经验证或确认的分析方法</w:t>
            </w:r>
          </w:p>
        </w:tc>
        <w:tc>
          <w:tcPr>
            <w:tcW w:w="1339" w:type="dxa"/>
            <w:vAlign w:val="center"/>
          </w:tcPr>
          <w:p w14:paraId="6FA69718">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环氧乙烷残留应符合产品技术要求规定</w:t>
            </w:r>
          </w:p>
        </w:tc>
        <w:tc>
          <w:tcPr>
            <w:tcW w:w="1308" w:type="dxa"/>
            <w:vAlign w:val="center"/>
          </w:tcPr>
          <w:p w14:paraId="280C7EEA">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工艺确认+出厂检验</w:t>
            </w:r>
          </w:p>
        </w:tc>
        <w:tc>
          <w:tcPr>
            <w:tcW w:w="2058" w:type="dxa"/>
            <w:vAlign w:val="center"/>
          </w:tcPr>
          <w:p w14:paraId="7325453B">
            <w:pPr>
              <w:widowControl w:val="0"/>
              <w:kinsoku/>
              <w:autoSpaceDE/>
              <w:autoSpaceDN/>
              <w:adjustRightInd/>
              <w:snapToGrid/>
              <w:spacing w:line="260" w:lineRule="exact"/>
              <w:jc w:val="center"/>
              <w:textAlignment w:val="auto"/>
              <w:rPr>
                <w:rFonts w:ascii="宋体" w:hAnsi="宋体" w:eastAsia="宋体" w:cs="Times New Roman"/>
                <w:snapToGrid/>
                <w:color w:val="auto"/>
                <w:kern w:val="2"/>
                <w:szCs w:val="21"/>
              </w:rPr>
            </w:pPr>
            <w:r>
              <w:rPr>
                <w:rFonts w:hint="eastAsia" w:ascii="宋体" w:hAnsi="宋体" w:eastAsia="宋体" w:cs="Times New Roman"/>
                <w:snapToGrid/>
                <w:color w:val="auto"/>
                <w:kern w:val="2"/>
                <w:szCs w:val="21"/>
              </w:rPr>
              <w:t>/</w:t>
            </w:r>
          </w:p>
        </w:tc>
        <w:tc>
          <w:tcPr>
            <w:tcW w:w="2849" w:type="dxa"/>
            <w:vAlign w:val="center"/>
          </w:tcPr>
          <w:p w14:paraId="752C08DD">
            <w:pPr>
              <w:widowControl w:val="0"/>
              <w:kinsoku/>
              <w:autoSpaceDE/>
              <w:autoSpaceDN/>
              <w:adjustRightInd/>
              <w:snapToGrid/>
              <w:spacing w:line="260" w:lineRule="exact"/>
              <w:jc w:val="both"/>
              <w:textAlignment w:val="auto"/>
              <w:rPr>
                <w:rFonts w:ascii="宋体" w:hAnsi="宋体" w:eastAsia="宋体" w:cs="Times New Roman"/>
                <w:snapToGrid/>
                <w:color w:val="auto"/>
                <w:kern w:val="2"/>
                <w:szCs w:val="21"/>
              </w:rPr>
            </w:pPr>
          </w:p>
        </w:tc>
      </w:tr>
    </w:tbl>
    <w:p w14:paraId="5D509C9E">
      <w:pPr>
        <w:widowControl w:val="0"/>
        <w:numPr>
          <w:ilvl w:val="0"/>
          <w:numId w:val="5"/>
        </w:numPr>
        <w:ind w:left="19" w:leftChars="9" w:firstLine="420" w:firstLineChars="200"/>
        <w:jc w:val="both"/>
        <w:rPr>
          <w:rFonts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检验项目和要求针对定型产品质量控制提出；产品变更应按相关要求执行。</w:t>
      </w:r>
    </w:p>
    <w:p w14:paraId="13017998">
      <w:pPr>
        <w:widowControl w:val="0"/>
        <w:numPr>
          <w:ilvl w:val="0"/>
          <w:numId w:val="5"/>
        </w:numPr>
        <w:ind w:left="19" w:leftChars="9" w:firstLine="420" w:firstLineChars="200"/>
        <w:jc w:val="both"/>
        <w:rPr>
          <w:rFonts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表中“一年内”，指12个自然月间隔内。</w:t>
      </w:r>
    </w:p>
    <w:p w14:paraId="318C488B">
      <w:pPr>
        <w:widowControl w:val="0"/>
        <w:numPr>
          <w:ilvl w:val="0"/>
          <w:numId w:val="5"/>
        </w:numPr>
        <w:ind w:left="19" w:leftChars="9" w:firstLine="420" w:firstLineChars="200"/>
        <w:jc w:val="both"/>
        <w:rPr>
          <w:rFonts w:ascii="宋体" w:hAnsi="宋体" w:eastAsia="宋体" w:cs="宋体"/>
          <w:color w:val="auto"/>
          <w:kern w:val="2"/>
          <w:sz w:val="21"/>
          <w:szCs w:val="21"/>
          <w:lang w:val="en-US" w:eastAsia="zh-CN" w:bidi="ar-SA"/>
        </w:rPr>
      </w:pPr>
      <w:r>
        <w:rPr>
          <w:rFonts w:hint="eastAsia" w:ascii="宋体" w:hAnsi="宋体" w:eastAsia="宋体" w:cs="宋体"/>
          <w:color w:val="auto"/>
          <w:kern w:val="2"/>
          <w:sz w:val="21"/>
          <w:szCs w:val="21"/>
          <w:lang w:val="en-US" w:eastAsia="zh-CN" w:bidi="ar-SA"/>
        </w:rPr>
        <w:t>“抽样规则”仅适用于成品检验；文中抽样规则依据相关强制性行业标准（YY</w:t>
      </w:r>
      <w:r>
        <w:rPr>
          <w:rFonts w:ascii="宋体" w:hAnsi="宋体" w:eastAsia="宋体" w:cs="宋体"/>
          <w:color w:val="auto"/>
          <w:kern w:val="2"/>
          <w:sz w:val="21"/>
          <w:szCs w:val="21"/>
          <w:lang w:val="en-US" w:eastAsia="zh-CN" w:bidi="ar-SA"/>
        </w:rPr>
        <w:t xml:space="preserve"> 0017-2016</w:t>
      </w:r>
      <w:r>
        <w:rPr>
          <w:rFonts w:hint="eastAsia" w:ascii="宋体" w:hAnsi="宋体" w:eastAsia="宋体" w:cs="宋体"/>
          <w:color w:val="auto"/>
          <w:kern w:val="2"/>
          <w:sz w:val="21"/>
          <w:szCs w:val="21"/>
          <w:lang w:val="en-US" w:eastAsia="zh-CN" w:bidi="ar-SA"/>
        </w:rPr>
        <w:t>、Y</w:t>
      </w:r>
      <w:r>
        <w:rPr>
          <w:rFonts w:ascii="宋体" w:hAnsi="宋体" w:eastAsia="宋体" w:cs="宋体"/>
          <w:color w:val="auto"/>
          <w:kern w:val="2"/>
          <w:sz w:val="21"/>
          <w:szCs w:val="21"/>
          <w:lang w:val="en-US" w:eastAsia="zh-CN" w:bidi="ar-SA"/>
        </w:rPr>
        <w:t xml:space="preserve"> </w:t>
      </w:r>
      <w:r>
        <w:rPr>
          <w:rFonts w:hint="eastAsia" w:ascii="宋体" w:hAnsi="宋体" w:eastAsia="宋体" w:cs="宋体"/>
          <w:color w:val="auto"/>
          <w:kern w:val="2"/>
          <w:sz w:val="21"/>
          <w:szCs w:val="21"/>
          <w:lang w:val="en-US" w:eastAsia="zh-CN" w:bidi="ar-SA"/>
        </w:rPr>
        <w:t>Y</w:t>
      </w:r>
      <w:r>
        <w:rPr>
          <w:rFonts w:ascii="宋体" w:hAnsi="宋体" w:eastAsia="宋体" w:cs="宋体"/>
          <w:color w:val="auto"/>
          <w:kern w:val="2"/>
          <w:sz w:val="21"/>
          <w:szCs w:val="21"/>
          <w:lang w:val="en-US" w:eastAsia="zh-CN" w:bidi="ar-SA"/>
        </w:rPr>
        <w:t>0018-2016</w:t>
      </w:r>
      <w:r>
        <w:rPr>
          <w:rFonts w:hint="eastAsia" w:ascii="宋体" w:hAnsi="宋体" w:eastAsia="宋体" w:cs="宋体"/>
          <w:color w:val="auto"/>
          <w:kern w:val="2"/>
          <w:sz w:val="21"/>
          <w:szCs w:val="21"/>
          <w:lang w:val="en-US" w:eastAsia="zh-CN" w:bidi="ar-SA"/>
        </w:rPr>
        <w:t>）确定；不考虑生产批的总数，按准则数量抽样并判定；如表中说明未有相关要求，样本抽取应在成品中抽取。</w:t>
      </w:r>
    </w:p>
    <w:p w14:paraId="30C40729">
      <w:pPr>
        <w:rPr>
          <w:rFonts w:hint="eastAsia" w:ascii="Times New Roman" w:hAnsi="Times New Roman" w:eastAsia="方正仿宋_GBK" w:cs="Times New Roman"/>
          <w:b w:val="0"/>
          <w:bCs w:val="0"/>
          <w:spacing w:val="0"/>
          <w:lang w:val="en-US" w:eastAsia="zh-CN"/>
        </w:rPr>
        <w:sectPr>
          <w:pgSz w:w="16838" w:h="11906" w:orient="landscape"/>
          <w:pgMar w:top="1814" w:right="1531" w:bottom="1985" w:left="1531" w:header="851" w:footer="992" w:gutter="0"/>
          <w:pgNumType w:fmt="decimal"/>
          <w:cols w:space="720" w:num="1"/>
          <w:docGrid w:type="lines" w:linePitch="312" w:charSpace="0"/>
        </w:sectPr>
      </w:pPr>
    </w:p>
    <w:p w14:paraId="4634AB32">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BCA70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2D9260">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2D9260">
                    <w:pPr>
                      <w:pStyle w:val="2"/>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E2257A"/>
    <w:multiLevelType w:val="multilevel"/>
    <w:tmpl w:val="15E2257A"/>
    <w:lvl w:ilvl="0" w:tentative="0">
      <w:start w:val="1"/>
      <w:numFmt w:val="decimal"/>
      <w:lvlText w:val="%1)"/>
      <w:lvlJc w:val="left"/>
      <w:pPr>
        <w:ind w:left="1280" w:hanging="440"/>
      </w:pPr>
    </w:lvl>
    <w:lvl w:ilvl="1" w:tentative="0">
      <w:start w:val="1"/>
      <w:numFmt w:val="lowerLetter"/>
      <w:lvlText w:val="%2)"/>
      <w:lvlJc w:val="left"/>
      <w:pPr>
        <w:ind w:left="1720" w:hanging="440"/>
      </w:pPr>
    </w:lvl>
    <w:lvl w:ilvl="2" w:tentative="0">
      <w:start w:val="1"/>
      <w:numFmt w:val="lowerRoman"/>
      <w:lvlText w:val="%3."/>
      <w:lvlJc w:val="right"/>
      <w:pPr>
        <w:ind w:left="2160" w:hanging="440"/>
      </w:pPr>
    </w:lvl>
    <w:lvl w:ilvl="3" w:tentative="0">
      <w:start w:val="1"/>
      <w:numFmt w:val="decimal"/>
      <w:lvlText w:val="%4."/>
      <w:lvlJc w:val="left"/>
      <w:pPr>
        <w:ind w:left="2600" w:hanging="440"/>
      </w:pPr>
    </w:lvl>
    <w:lvl w:ilvl="4" w:tentative="0">
      <w:start w:val="1"/>
      <w:numFmt w:val="lowerLetter"/>
      <w:lvlText w:val="%5)"/>
      <w:lvlJc w:val="left"/>
      <w:pPr>
        <w:ind w:left="3040" w:hanging="440"/>
      </w:pPr>
    </w:lvl>
    <w:lvl w:ilvl="5" w:tentative="0">
      <w:start w:val="1"/>
      <w:numFmt w:val="lowerRoman"/>
      <w:lvlText w:val="%6."/>
      <w:lvlJc w:val="right"/>
      <w:pPr>
        <w:ind w:left="3480" w:hanging="440"/>
      </w:pPr>
    </w:lvl>
    <w:lvl w:ilvl="6" w:tentative="0">
      <w:start w:val="1"/>
      <w:numFmt w:val="decimal"/>
      <w:lvlText w:val="%7."/>
      <w:lvlJc w:val="left"/>
      <w:pPr>
        <w:ind w:left="3920" w:hanging="440"/>
      </w:pPr>
    </w:lvl>
    <w:lvl w:ilvl="7" w:tentative="0">
      <w:start w:val="1"/>
      <w:numFmt w:val="lowerLetter"/>
      <w:lvlText w:val="%8)"/>
      <w:lvlJc w:val="left"/>
      <w:pPr>
        <w:ind w:left="4360" w:hanging="440"/>
      </w:pPr>
    </w:lvl>
    <w:lvl w:ilvl="8" w:tentative="0">
      <w:start w:val="1"/>
      <w:numFmt w:val="lowerRoman"/>
      <w:lvlText w:val="%9."/>
      <w:lvlJc w:val="right"/>
      <w:pPr>
        <w:ind w:left="4800" w:hanging="440"/>
      </w:pPr>
    </w:lvl>
  </w:abstractNum>
  <w:abstractNum w:abstractNumId="1">
    <w:nsid w:val="15E80C9D"/>
    <w:multiLevelType w:val="multilevel"/>
    <w:tmpl w:val="15E80C9D"/>
    <w:lvl w:ilvl="0" w:tentative="0">
      <w:start w:val="1"/>
      <w:numFmt w:val="decimal"/>
      <w:lvlText w:val="%1)"/>
      <w:lvlJc w:val="left"/>
      <w:pPr>
        <w:ind w:left="1280" w:hanging="440"/>
      </w:pPr>
    </w:lvl>
    <w:lvl w:ilvl="1" w:tentative="0">
      <w:start w:val="1"/>
      <w:numFmt w:val="lowerLetter"/>
      <w:lvlText w:val="%2)"/>
      <w:lvlJc w:val="left"/>
      <w:pPr>
        <w:ind w:left="1720" w:hanging="440"/>
      </w:pPr>
    </w:lvl>
    <w:lvl w:ilvl="2" w:tentative="0">
      <w:start w:val="1"/>
      <w:numFmt w:val="lowerRoman"/>
      <w:lvlText w:val="%3."/>
      <w:lvlJc w:val="right"/>
      <w:pPr>
        <w:ind w:left="2160" w:hanging="440"/>
      </w:pPr>
    </w:lvl>
    <w:lvl w:ilvl="3" w:tentative="0">
      <w:start w:val="1"/>
      <w:numFmt w:val="decimal"/>
      <w:lvlText w:val="%4."/>
      <w:lvlJc w:val="left"/>
      <w:pPr>
        <w:ind w:left="2600" w:hanging="440"/>
      </w:pPr>
    </w:lvl>
    <w:lvl w:ilvl="4" w:tentative="0">
      <w:start w:val="1"/>
      <w:numFmt w:val="lowerLetter"/>
      <w:lvlText w:val="%5)"/>
      <w:lvlJc w:val="left"/>
      <w:pPr>
        <w:ind w:left="3040" w:hanging="440"/>
      </w:pPr>
    </w:lvl>
    <w:lvl w:ilvl="5" w:tentative="0">
      <w:start w:val="1"/>
      <w:numFmt w:val="lowerRoman"/>
      <w:lvlText w:val="%6."/>
      <w:lvlJc w:val="right"/>
      <w:pPr>
        <w:ind w:left="3480" w:hanging="440"/>
      </w:pPr>
    </w:lvl>
    <w:lvl w:ilvl="6" w:tentative="0">
      <w:start w:val="1"/>
      <w:numFmt w:val="decimal"/>
      <w:lvlText w:val="%7."/>
      <w:lvlJc w:val="left"/>
      <w:pPr>
        <w:ind w:left="3920" w:hanging="440"/>
      </w:pPr>
    </w:lvl>
    <w:lvl w:ilvl="7" w:tentative="0">
      <w:start w:val="1"/>
      <w:numFmt w:val="lowerLetter"/>
      <w:lvlText w:val="%8)"/>
      <w:lvlJc w:val="left"/>
      <w:pPr>
        <w:ind w:left="4360" w:hanging="440"/>
      </w:pPr>
    </w:lvl>
    <w:lvl w:ilvl="8" w:tentative="0">
      <w:start w:val="1"/>
      <w:numFmt w:val="lowerRoman"/>
      <w:lvlText w:val="%9."/>
      <w:lvlJc w:val="right"/>
      <w:pPr>
        <w:ind w:left="4800" w:hanging="440"/>
      </w:pPr>
    </w:lvl>
  </w:abstractNum>
  <w:abstractNum w:abstractNumId="2">
    <w:nsid w:val="184A7566"/>
    <w:multiLevelType w:val="multilevel"/>
    <w:tmpl w:val="184A7566"/>
    <w:lvl w:ilvl="0" w:tentative="0">
      <w:start w:val="1"/>
      <w:numFmt w:val="decimal"/>
      <w:lvlText w:val="%1)"/>
      <w:lvlJc w:val="left"/>
      <w:pPr>
        <w:tabs>
          <w:tab w:val="left" w:pos="420"/>
        </w:tabs>
        <w:ind w:left="1700" w:hanging="440"/>
      </w:pPr>
    </w:lvl>
    <w:lvl w:ilvl="1" w:tentative="0">
      <w:start w:val="1"/>
      <w:numFmt w:val="lowerLetter"/>
      <w:lvlText w:val="%2)"/>
      <w:lvlJc w:val="left"/>
      <w:pPr>
        <w:tabs>
          <w:tab w:val="left" w:pos="420"/>
        </w:tabs>
        <w:ind w:left="2140" w:hanging="440"/>
      </w:pPr>
    </w:lvl>
    <w:lvl w:ilvl="2" w:tentative="0">
      <w:start w:val="1"/>
      <w:numFmt w:val="lowerRoman"/>
      <w:lvlText w:val="%3."/>
      <w:lvlJc w:val="right"/>
      <w:pPr>
        <w:tabs>
          <w:tab w:val="left" w:pos="420"/>
        </w:tabs>
        <w:ind w:left="2580" w:hanging="440"/>
      </w:pPr>
    </w:lvl>
    <w:lvl w:ilvl="3" w:tentative="0">
      <w:start w:val="1"/>
      <w:numFmt w:val="decimal"/>
      <w:lvlText w:val="%4."/>
      <w:lvlJc w:val="left"/>
      <w:pPr>
        <w:tabs>
          <w:tab w:val="left" w:pos="420"/>
        </w:tabs>
        <w:ind w:left="3020" w:hanging="440"/>
      </w:pPr>
    </w:lvl>
    <w:lvl w:ilvl="4" w:tentative="0">
      <w:start w:val="1"/>
      <w:numFmt w:val="lowerLetter"/>
      <w:lvlText w:val="%5)"/>
      <w:lvlJc w:val="left"/>
      <w:pPr>
        <w:tabs>
          <w:tab w:val="left" w:pos="420"/>
        </w:tabs>
        <w:ind w:left="3460" w:hanging="440"/>
      </w:pPr>
    </w:lvl>
    <w:lvl w:ilvl="5" w:tentative="0">
      <w:start w:val="1"/>
      <w:numFmt w:val="lowerRoman"/>
      <w:lvlText w:val="%6."/>
      <w:lvlJc w:val="right"/>
      <w:pPr>
        <w:tabs>
          <w:tab w:val="left" w:pos="420"/>
        </w:tabs>
        <w:ind w:left="3900" w:hanging="440"/>
      </w:pPr>
    </w:lvl>
    <w:lvl w:ilvl="6" w:tentative="0">
      <w:start w:val="1"/>
      <w:numFmt w:val="decimal"/>
      <w:lvlText w:val="%7."/>
      <w:lvlJc w:val="left"/>
      <w:pPr>
        <w:tabs>
          <w:tab w:val="left" w:pos="420"/>
        </w:tabs>
        <w:ind w:left="4340" w:hanging="440"/>
      </w:pPr>
    </w:lvl>
    <w:lvl w:ilvl="7" w:tentative="0">
      <w:start w:val="1"/>
      <w:numFmt w:val="lowerLetter"/>
      <w:lvlText w:val="%8)"/>
      <w:lvlJc w:val="left"/>
      <w:pPr>
        <w:tabs>
          <w:tab w:val="left" w:pos="420"/>
        </w:tabs>
        <w:ind w:left="4780" w:hanging="440"/>
      </w:pPr>
    </w:lvl>
    <w:lvl w:ilvl="8" w:tentative="0">
      <w:start w:val="1"/>
      <w:numFmt w:val="lowerRoman"/>
      <w:lvlText w:val="%9."/>
      <w:lvlJc w:val="right"/>
      <w:pPr>
        <w:tabs>
          <w:tab w:val="left" w:pos="420"/>
        </w:tabs>
        <w:ind w:left="5220" w:hanging="440"/>
      </w:pPr>
    </w:lvl>
  </w:abstractNum>
  <w:abstractNum w:abstractNumId="3">
    <w:nsid w:val="2B8E1D4B"/>
    <w:multiLevelType w:val="multilevel"/>
    <w:tmpl w:val="2B8E1D4B"/>
    <w:lvl w:ilvl="0" w:tentative="0">
      <w:start w:val="2"/>
      <w:numFmt w:val="japaneseCounting"/>
      <w:lvlText w:val="%1、"/>
      <w:lvlJc w:val="left"/>
      <w:pPr>
        <w:ind w:left="1280" w:hanging="72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4">
    <w:nsid w:val="7EB30013"/>
    <w:multiLevelType w:val="multilevel"/>
    <w:tmpl w:val="7EB30013"/>
    <w:lvl w:ilvl="0" w:tentative="0">
      <w:start w:val="1"/>
      <w:numFmt w:val="decimal"/>
      <w:lvlText w:val="%1)"/>
      <w:lvlJc w:val="left"/>
      <w:pPr>
        <w:ind w:left="1280" w:hanging="440"/>
      </w:pPr>
    </w:lvl>
    <w:lvl w:ilvl="1" w:tentative="0">
      <w:start w:val="1"/>
      <w:numFmt w:val="lowerLetter"/>
      <w:lvlText w:val="%2)"/>
      <w:lvlJc w:val="left"/>
      <w:pPr>
        <w:ind w:left="1720" w:hanging="440"/>
      </w:pPr>
    </w:lvl>
    <w:lvl w:ilvl="2" w:tentative="0">
      <w:start w:val="1"/>
      <w:numFmt w:val="lowerRoman"/>
      <w:lvlText w:val="%3."/>
      <w:lvlJc w:val="right"/>
      <w:pPr>
        <w:ind w:left="2160" w:hanging="440"/>
      </w:pPr>
    </w:lvl>
    <w:lvl w:ilvl="3" w:tentative="0">
      <w:start w:val="1"/>
      <w:numFmt w:val="decimal"/>
      <w:lvlText w:val="%4."/>
      <w:lvlJc w:val="left"/>
      <w:pPr>
        <w:ind w:left="2600" w:hanging="440"/>
      </w:pPr>
    </w:lvl>
    <w:lvl w:ilvl="4" w:tentative="0">
      <w:start w:val="1"/>
      <w:numFmt w:val="lowerLetter"/>
      <w:lvlText w:val="%5)"/>
      <w:lvlJc w:val="left"/>
      <w:pPr>
        <w:ind w:left="3040" w:hanging="440"/>
      </w:pPr>
    </w:lvl>
    <w:lvl w:ilvl="5" w:tentative="0">
      <w:start w:val="1"/>
      <w:numFmt w:val="lowerRoman"/>
      <w:lvlText w:val="%6."/>
      <w:lvlJc w:val="right"/>
      <w:pPr>
        <w:ind w:left="3480" w:hanging="440"/>
      </w:pPr>
    </w:lvl>
    <w:lvl w:ilvl="6" w:tentative="0">
      <w:start w:val="1"/>
      <w:numFmt w:val="decimal"/>
      <w:lvlText w:val="%7."/>
      <w:lvlJc w:val="left"/>
      <w:pPr>
        <w:ind w:left="3920" w:hanging="440"/>
      </w:pPr>
    </w:lvl>
    <w:lvl w:ilvl="7" w:tentative="0">
      <w:start w:val="1"/>
      <w:numFmt w:val="lowerLetter"/>
      <w:lvlText w:val="%8)"/>
      <w:lvlJc w:val="left"/>
      <w:pPr>
        <w:ind w:left="4360" w:hanging="440"/>
      </w:pPr>
    </w:lvl>
    <w:lvl w:ilvl="8" w:tentative="0">
      <w:start w:val="1"/>
      <w:numFmt w:val="lowerRoman"/>
      <w:lvlText w:val="%9."/>
      <w:lvlJc w:val="right"/>
      <w:pPr>
        <w:ind w:left="4800" w:hanging="44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6D09D0"/>
    <w:rsid w:val="706D09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4">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2025-12-12T08:13:00Z</dcterms:created>
  <dc:creator>一辈子</dc:creator>
  <cp:lastModifiedBy>一辈子</cp:lastModifiedBy>
  <dcterms:modified xsi:type="dcterms:W3CDTF">2025-12-12T08:15:02Z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9A787178D92D4459B3F4D41CC63CE5FD_11</vt:lpwstr>
  </property>
  <property fmtid="{D5CDD505-2E9C-101B-9397-08002B2CF9AE}" pid="4" name="KSOTemplateDocerSaveRecord">
    <vt:lpwstr>eyJoZGlkIjoiZDZhOTk3NzA4NzU0NTkyNzc4NWRhZDAzZWFiNzgyZmIiLCJ1c2VySWQiOiIyODA4OTkxNzYifQ==</vt:lpwstr>
  </property>
</Properties>
</file>