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val="0"/>
        <w:snapToGrid w:val="0"/>
        <w:spacing w:line="590" w:lineRule="atLeast"/>
        <w:jc w:val="center"/>
        <w:textAlignment w:val="auto"/>
        <w:rPr>
          <w:rFonts w:hint="eastAsia" w:ascii="方正小标宋_GBK" w:eastAsia="方正小标宋_GBK"/>
          <w:color w:val="auto"/>
          <w:sz w:val="44"/>
          <w:szCs w:val="44"/>
          <w:lang w:val="en-US" w:eastAsia="zh-CN"/>
        </w:rPr>
      </w:pPr>
      <w:r>
        <w:rPr>
          <w:rFonts w:hint="eastAsia" w:ascii="方正小标宋_GBK" w:eastAsia="方正小标宋_GBK"/>
          <w:color w:val="auto"/>
          <w:sz w:val="44"/>
          <w:szCs w:val="44"/>
        </w:rPr>
        <w:t>关于</w:t>
      </w:r>
      <w:r>
        <w:rPr>
          <w:rFonts w:hint="eastAsia" w:ascii="方正小标宋_GBK" w:eastAsia="方正小标宋_GBK"/>
          <w:color w:val="auto"/>
          <w:sz w:val="44"/>
          <w:szCs w:val="44"/>
          <w:lang w:val="en-US" w:eastAsia="zh-CN"/>
        </w:rPr>
        <w:t>《江苏省药品安全责任约谈管理办法</w:t>
      </w:r>
    </w:p>
    <w:p>
      <w:pPr>
        <w:keepNext w:val="0"/>
        <w:keepLines w:val="0"/>
        <w:pageBreakBefore w:val="0"/>
        <w:widowControl w:val="0"/>
        <w:kinsoku/>
        <w:wordWrap/>
        <w:overflowPunct/>
        <w:topLinePunct w:val="0"/>
        <w:autoSpaceDE/>
        <w:autoSpaceDN/>
        <w:bidi w:val="0"/>
        <w:adjustRightInd w:val="0"/>
        <w:snapToGrid w:val="0"/>
        <w:spacing w:line="590" w:lineRule="atLeast"/>
        <w:jc w:val="center"/>
        <w:textAlignment w:val="auto"/>
        <w:rPr>
          <w:rFonts w:hint="eastAsia" w:ascii="方正小标宋_GBK" w:eastAsia="方正小标宋_GBK"/>
          <w:color w:val="auto"/>
          <w:sz w:val="44"/>
          <w:szCs w:val="44"/>
          <w:lang w:val="en-US" w:eastAsia="zh-CN"/>
        </w:rPr>
      </w:pPr>
      <w:r>
        <w:rPr>
          <w:rFonts w:hint="eastAsia" w:ascii="方正小标宋_GBK" w:eastAsia="方正小标宋_GBK"/>
          <w:color w:val="auto"/>
          <w:sz w:val="44"/>
          <w:szCs w:val="44"/>
          <w:lang w:val="en-US" w:eastAsia="zh-CN"/>
        </w:rPr>
        <w:t>（征求意见稿）》的起草说明</w:t>
      </w:r>
    </w:p>
    <w:p>
      <w:pPr>
        <w:keepNext w:val="0"/>
        <w:keepLines w:val="0"/>
        <w:pageBreakBefore w:val="0"/>
        <w:widowControl w:val="0"/>
        <w:kinsoku/>
        <w:wordWrap/>
        <w:overflowPunct/>
        <w:topLinePunct w:val="0"/>
        <w:autoSpaceDE/>
        <w:autoSpaceDN/>
        <w:bidi w:val="0"/>
        <w:adjustRightInd w:val="0"/>
        <w:snapToGrid w:val="0"/>
        <w:spacing w:line="590" w:lineRule="atLeast"/>
        <w:jc w:val="center"/>
        <w:textAlignment w:val="auto"/>
        <w:rPr>
          <w:rFonts w:hint="eastAsia" w:ascii="方正小标宋_GBK" w:eastAsia="方正小标宋_GBK"/>
          <w:color w:val="auto"/>
          <w:sz w:val="44"/>
          <w:szCs w:val="44"/>
          <w:lang w:val="en-US" w:eastAsia="zh-CN"/>
        </w:rPr>
      </w:pPr>
    </w:p>
    <w:p>
      <w:pPr>
        <w:keepNext w:val="0"/>
        <w:keepLines w:val="0"/>
        <w:pageBreakBefore w:val="0"/>
        <w:widowControl w:val="0"/>
        <w:kinsoku/>
        <w:wordWrap/>
        <w:overflowPunct/>
        <w:topLinePunct w:val="0"/>
        <w:autoSpaceDE/>
        <w:autoSpaceDN/>
        <w:bidi w:val="0"/>
        <w:adjustRightInd w:val="0"/>
        <w:snapToGrid w:val="0"/>
        <w:spacing w:line="590" w:lineRule="atLeast"/>
        <w:ind w:firstLine="640" w:firstLineChars="200"/>
        <w:textAlignment w:val="auto"/>
        <w:rPr>
          <w:rFonts w:ascii="方正黑体_GBK" w:eastAsia="方正黑体_GBK"/>
          <w:color w:val="auto"/>
          <w:sz w:val="32"/>
          <w:szCs w:val="32"/>
        </w:rPr>
      </w:pPr>
      <w:r>
        <w:rPr>
          <w:rFonts w:hint="eastAsia" w:ascii="方正黑体_GBK" w:eastAsia="方正黑体_GBK"/>
          <w:color w:val="auto"/>
          <w:sz w:val="32"/>
          <w:szCs w:val="32"/>
        </w:rPr>
        <w:t>一、</w:t>
      </w:r>
      <w:r>
        <w:rPr>
          <w:rFonts w:hint="eastAsia" w:ascii="方正黑体_GBK" w:eastAsia="方正黑体_GBK"/>
          <w:color w:val="auto"/>
          <w:sz w:val="32"/>
          <w:szCs w:val="32"/>
          <w:lang w:eastAsia="zh-CN"/>
        </w:rPr>
        <w:t>起草背景</w:t>
      </w:r>
    </w:p>
    <w:p>
      <w:pPr>
        <w:keepNext w:val="0"/>
        <w:keepLines w:val="0"/>
        <w:pageBreakBefore w:val="0"/>
        <w:widowControl w:val="0"/>
        <w:kinsoku/>
        <w:wordWrap/>
        <w:overflowPunct/>
        <w:topLinePunct w:val="0"/>
        <w:autoSpaceDE/>
        <w:autoSpaceDN/>
        <w:bidi w:val="0"/>
        <w:adjustRightInd w:val="0"/>
        <w:snapToGrid w:val="0"/>
        <w:spacing w:line="590" w:lineRule="atLeast"/>
        <w:ind w:firstLine="640" w:firstLineChars="200"/>
        <w:textAlignment w:val="auto"/>
        <w:rPr>
          <w:rFonts w:hint="eastAsia" w:ascii="方正仿宋_GBK" w:hAnsi="方正仿宋_GBK" w:eastAsia="方正仿宋_GBK" w:cs="方正仿宋_GBK"/>
          <w:color w:val="auto"/>
          <w:sz w:val="32"/>
          <w:szCs w:val="32"/>
          <w:lang w:val="en-US" w:eastAsia="zh-CN"/>
        </w:rPr>
      </w:pPr>
      <w:r>
        <w:rPr>
          <w:rFonts w:hint="eastAsia" w:ascii="方正仿宋_GBK" w:hAnsi="方正仿宋_GBK" w:eastAsia="方正仿宋_GBK" w:cs="方正仿宋_GBK"/>
          <w:color w:val="auto"/>
          <w:sz w:val="32"/>
          <w:szCs w:val="32"/>
          <w:lang w:val="en-US" w:eastAsia="zh-CN"/>
        </w:rPr>
        <w:t>《中华人民共和国药品管理法》《医疗器械监督管理条例》《化妆品监督管理条例》等规定，对存在质量安全隐患的相对人的法定代表人、主要负责人和其他负责人的责任约谈方面作出了规定。《国家药品监督管理局药品安全责任约谈办法》中要求“省局参照本办法，制定本省的药品安全责任约谈办法。”2022年12月，我局制定了适用于约谈市、县级人民政府、市级人民政府承担药品监管职责的部门主要负责人的《江苏省药品监督管理局药品安全责任约谈办法（试行）》。当时，我局计划今年按照行政规范性文件管理要求制定针对相对人的责任约谈制度。随着药品、医疗器械、化妆品监管法律法规规章的修改，仅适用于药品生产经营企业的《关于印发江苏省药品生产经营企业约谈制度（试行）的通知》（苏食药监药通〔2015〕297号）已不能满足药品、医疗器械、化妆品监管工作的实际</w:t>
      </w:r>
      <w:bookmarkStart w:id="0" w:name="_GoBack"/>
      <w:bookmarkEnd w:id="0"/>
      <w:r>
        <w:rPr>
          <w:rFonts w:hint="eastAsia" w:ascii="方正仿宋_GBK" w:hAnsi="方正仿宋_GBK" w:eastAsia="方正仿宋_GBK" w:cs="方正仿宋_GBK"/>
          <w:color w:val="auto"/>
          <w:sz w:val="32"/>
          <w:szCs w:val="32"/>
          <w:lang w:val="en-US" w:eastAsia="zh-CN"/>
        </w:rPr>
        <w:t>需要。为强化药品、医疗器械、化妆品安全监管，督促相对人落实主体责任，防范、控制和消除药品、医疗器械、化妆品安全风险隐患，明确针对相对人的责任约谈制度，我局决定通过立新废旧的方式修改《关于印发江苏省药品生产经营企业约谈制度（试行）的通知》。</w:t>
      </w:r>
    </w:p>
    <w:p>
      <w:pPr>
        <w:keepNext w:val="0"/>
        <w:keepLines w:val="0"/>
        <w:pageBreakBefore w:val="0"/>
        <w:widowControl w:val="0"/>
        <w:kinsoku/>
        <w:wordWrap/>
        <w:overflowPunct/>
        <w:topLinePunct w:val="0"/>
        <w:autoSpaceDE/>
        <w:autoSpaceDN/>
        <w:bidi w:val="0"/>
        <w:adjustRightInd w:val="0"/>
        <w:snapToGrid w:val="0"/>
        <w:spacing w:line="590" w:lineRule="atLeast"/>
        <w:ind w:firstLine="640" w:firstLineChars="200"/>
        <w:textAlignment w:val="auto"/>
        <w:rPr>
          <w:rFonts w:hint="eastAsia" w:ascii="方正黑体_GBK" w:hAnsi="微软雅黑" w:eastAsia="方正黑体_GBK" w:cs="宋体"/>
          <w:color w:val="auto"/>
          <w:kern w:val="0"/>
          <w:sz w:val="32"/>
          <w:szCs w:val="32"/>
          <w:lang w:val="en-US" w:eastAsia="zh-CN"/>
        </w:rPr>
      </w:pPr>
      <w:r>
        <w:rPr>
          <w:rFonts w:hint="eastAsia" w:ascii="方正黑体_GBK" w:hAnsi="微软雅黑" w:eastAsia="方正黑体_GBK" w:cs="宋体"/>
          <w:color w:val="auto"/>
          <w:kern w:val="0"/>
          <w:sz w:val="32"/>
          <w:szCs w:val="32"/>
          <w:lang w:val="en-US" w:eastAsia="zh-CN"/>
        </w:rPr>
        <w:t>二、起草主要过程</w:t>
      </w:r>
    </w:p>
    <w:p>
      <w:pPr>
        <w:pStyle w:val="10"/>
        <w:keepNext w:val="0"/>
        <w:keepLines w:val="0"/>
        <w:pageBreakBefore w:val="0"/>
        <w:widowControl w:val="0"/>
        <w:kinsoku/>
        <w:wordWrap/>
        <w:overflowPunct/>
        <w:topLinePunct w:val="0"/>
        <w:autoSpaceDE/>
        <w:autoSpaceDN/>
        <w:bidi w:val="0"/>
        <w:adjustRightInd w:val="0"/>
        <w:snapToGrid w:val="0"/>
        <w:spacing w:line="590" w:lineRule="atLeast"/>
        <w:ind w:firstLine="640" w:firstLineChars="200"/>
        <w:textAlignment w:val="auto"/>
        <w:rPr>
          <w:rFonts w:hint="eastAsia" w:ascii="方正仿宋_GBK" w:hAnsi="微软雅黑" w:eastAsia="方正仿宋_GBK" w:cs="宋体"/>
          <w:color w:val="auto"/>
          <w:kern w:val="0"/>
          <w:sz w:val="32"/>
          <w:szCs w:val="32"/>
          <w:lang w:val="en-US" w:eastAsia="zh-CN"/>
        </w:rPr>
      </w:pPr>
      <w:r>
        <w:rPr>
          <w:rFonts w:hint="eastAsia" w:ascii="方正仿宋_GBK" w:hAnsi="微软雅黑" w:eastAsia="方正仿宋_GBK" w:cs="宋体"/>
          <w:color w:val="auto"/>
          <w:kern w:val="0"/>
          <w:sz w:val="32"/>
          <w:szCs w:val="32"/>
          <w:lang w:val="en-US" w:eastAsia="zh-CN"/>
        </w:rPr>
        <w:t>为做好修改工作，我局专门制定方案，成立专班，指定1名公职律师充分借鉴兄弟省局的制度负责形成草案初稿。10月下旬，我局政策法规处组织部分公职律师、有关处室集中讨论修改了草案初稿，形成草案二稿。之后，经我局政策法规处讨论，形成了本次向社会公开征求意见的《江苏省药品安全责任约谈管理办法（征求意见稿）》。</w:t>
      </w:r>
    </w:p>
    <w:p>
      <w:pPr>
        <w:keepNext w:val="0"/>
        <w:keepLines w:val="0"/>
        <w:pageBreakBefore w:val="0"/>
        <w:widowControl w:val="0"/>
        <w:kinsoku/>
        <w:wordWrap/>
        <w:overflowPunct/>
        <w:topLinePunct w:val="0"/>
        <w:autoSpaceDE/>
        <w:autoSpaceDN/>
        <w:bidi w:val="0"/>
        <w:adjustRightInd w:val="0"/>
        <w:snapToGrid w:val="0"/>
        <w:spacing w:line="590" w:lineRule="atLeast"/>
        <w:ind w:firstLine="640" w:firstLineChars="200"/>
        <w:textAlignment w:val="auto"/>
        <w:rPr>
          <w:rFonts w:ascii="方正黑体_GBK" w:eastAsia="方正黑体_GBK"/>
          <w:color w:val="auto"/>
          <w:sz w:val="32"/>
          <w:szCs w:val="32"/>
        </w:rPr>
      </w:pPr>
      <w:r>
        <w:rPr>
          <w:rStyle w:val="13"/>
          <w:rFonts w:hint="eastAsia" w:ascii="方正黑体_GBK" w:eastAsia="方正黑体_GBK"/>
          <w:color w:val="auto"/>
          <w:sz w:val="32"/>
          <w:szCs w:val="32"/>
          <w:lang w:eastAsia="zh-CN"/>
        </w:rPr>
        <w:t>三</w:t>
      </w:r>
      <w:r>
        <w:rPr>
          <w:rStyle w:val="13"/>
          <w:rFonts w:hint="eastAsia" w:ascii="方正黑体_GBK" w:eastAsia="方正黑体_GBK"/>
          <w:color w:val="auto"/>
          <w:sz w:val="32"/>
          <w:szCs w:val="32"/>
        </w:rPr>
        <w:t>、</w:t>
      </w:r>
      <w:r>
        <w:rPr>
          <w:rStyle w:val="13"/>
          <w:rFonts w:hint="eastAsia" w:ascii="方正黑体_GBK" w:eastAsia="方正黑体_GBK"/>
          <w:color w:val="auto"/>
          <w:sz w:val="32"/>
          <w:szCs w:val="32"/>
          <w:lang w:eastAsia="zh-CN"/>
        </w:rPr>
        <w:t>起草</w:t>
      </w:r>
      <w:r>
        <w:rPr>
          <w:rFonts w:hint="eastAsia" w:ascii="方正黑体_GBK" w:eastAsia="方正黑体_GBK"/>
          <w:color w:val="auto"/>
          <w:sz w:val="32"/>
          <w:szCs w:val="32"/>
        </w:rPr>
        <w:t>依据</w:t>
      </w:r>
    </w:p>
    <w:p>
      <w:pPr>
        <w:keepNext w:val="0"/>
        <w:keepLines w:val="0"/>
        <w:pageBreakBefore w:val="0"/>
        <w:widowControl w:val="0"/>
        <w:kinsoku/>
        <w:wordWrap/>
        <w:overflowPunct/>
        <w:topLinePunct w:val="0"/>
        <w:autoSpaceDE/>
        <w:autoSpaceDN/>
        <w:bidi w:val="0"/>
        <w:adjustRightInd w:val="0"/>
        <w:snapToGrid w:val="0"/>
        <w:spacing w:line="590" w:lineRule="atLeast"/>
        <w:ind w:firstLine="640" w:firstLineChars="200"/>
        <w:textAlignment w:val="auto"/>
        <w:rPr>
          <w:rFonts w:hint="eastAsia" w:ascii="方正仿宋_GBK" w:hAnsi="微软雅黑" w:eastAsia="方正仿宋_GBK" w:cs="宋体"/>
          <w:color w:val="auto"/>
          <w:kern w:val="0"/>
          <w:sz w:val="32"/>
          <w:szCs w:val="32"/>
          <w:lang w:eastAsia="zh-CN"/>
        </w:rPr>
      </w:pPr>
      <w:r>
        <w:rPr>
          <w:rFonts w:hint="eastAsia" w:ascii="方正仿宋_GBK" w:hAnsi="微软雅黑" w:eastAsia="方正仿宋_GBK" w:cs="宋体"/>
          <w:color w:val="auto"/>
          <w:kern w:val="0"/>
          <w:sz w:val="32"/>
          <w:szCs w:val="32"/>
          <w:lang w:val="en-US" w:eastAsia="zh-CN"/>
        </w:rPr>
        <w:t>1.</w:t>
      </w:r>
      <w:r>
        <w:rPr>
          <w:rFonts w:hint="eastAsia" w:ascii="方正仿宋_GBK" w:hAnsi="微软雅黑" w:eastAsia="方正仿宋_GBK" w:cs="宋体"/>
          <w:color w:val="auto"/>
          <w:kern w:val="0"/>
          <w:sz w:val="32"/>
          <w:szCs w:val="32"/>
        </w:rPr>
        <w:t>《中华人民共和国药品管理法》</w:t>
      </w:r>
      <w:r>
        <w:rPr>
          <w:rFonts w:hint="eastAsia" w:ascii="方正仿宋_GBK" w:hAnsi="微软雅黑" w:eastAsia="方正仿宋_GBK" w:cs="宋体"/>
          <w:color w:val="auto"/>
          <w:kern w:val="0"/>
          <w:sz w:val="32"/>
          <w:szCs w:val="32"/>
          <w:lang w:val="en-US" w:eastAsia="zh-CN"/>
        </w:rPr>
        <w:t>（2019年8月26日</w:t>
      </w:r>
      <w:r>
        <w:rPr>
          <w:rFonts w:hint="eastAsia" w:ascii="方正仿宋_GBK" w:hAnsi="微软雅黑" w:eastAsia="方正仿宋_GBK" w:cs="宋体"/>
          <w:color w:val="auto"/>
          <w:kern w:val="0"/>
          <w:sz w:val="32"/>
          <w:szCs w:val="32"/>
        </w:rPr>
        <w:t>第十三届全国人民代表大会常务委员会第十二次会议修订通过</w:t>
      </w:r>
      <w:r>
        <w:rPr>
          <w:rFonts w:hint="eastAsia" w:ascii="方正仿宋_GBK" w:hAnsi="微软雅黑" w:eastAsia="方正仿宋_GBK" w:cs="宋体"/>
          <w:color w:val="auto"/>
          <w:kern w:val="0"/>
          <w:sz w:val="32"/>
          <w:szCs w:val="32"/>
          <w:lang w:eastAsia="zh-CN"/>
        </w:rPr>
        <w:t>）；</w:t>
      </w:r>
    </w:p>
    <w:p>
      <w:pPr>
        <w:keepNext w:val="0"/>
        <w:keepLines w:val="0"/>
        <w:pageBreakBefore w:val="0"/>
        <w:widowControl w:val="0"/>
        <w:kinsoku/>
        <w:wordWrap/>
        <w:overflowPunct/>
        <w:topLinePunct w:val="0"/>
        <w:autoSpaceDE/>
        <w:autoSpaceDN/>
        <w:bidi w:val="0"/>
        <w:adjustRightInd w:val="0"/>
        <w:snapToGrid w:val="0"/>
        <w:spacing w:line="590" w:lineRule="atLeast"/>
        <w:ind w:firstLine="640" w:firstLineChars="200"/>
        <w:textAlignment w:val="auto"/>
        <w:rPr>
          <w:rFonts w:hint="eastAsia" w:ascii="方正仿宋_GBK" w:hAnsi="微软雅黑" w:eastAsia="方正仿宋_GBK" w:cs="宋体"/>
          <w:color w:val="auto"/>
          <w:kern w:val="0"/>
          <w:sz w:val="32"/>
          <w:szCs w:val="32"/>
        </w:rPr>
      </w:pPr>
      <w:r>
        <w:rPr>
          <w:rFonts w:hint="eastAsia" w:ascii="方正仿宋_GBK" w:hAnsi="微软雅黑" w:eastAsia="方正仿宋_GBK" w:cs="宋体"/>
          <w:color w:val="auto"/>
          <w:kern w:val="0"/>
          <w:sz w:val="32"/>
          <w:szCs w:val="32"/>
          <w:lang w:val="en-US" w:eastAsia="zh-CN"/>
        </w:rPr>
        <w:t>2.</w:t>
      </w:r>
      <w:r>
        <w:rPr>
          <w:rFonts w:hint="eastAsia" w:ascii="方正仿宋_GBK" w:hAnsi="微软雅黑" w:eastAsia="方正仿宋_GBK" w:cs="宋体"/>
          <w:color w:val="auto"/>
          <w:kern w:val="0"/>
          <w:sz w:val="32"/>
          <w:szCs w:val="32"/>
        </w:rPr>
        <w:t>《中华人民共和国疫苗管理法》</w:t>
      </w:r>
      <w:r>
        <w:rPr>
          <w:rFonts w:hint="eastAsia" w:ascii="方正仿宋_GBK" w:hAnsi="微软雅黑" w:eastAsia="方正仿宋_GBK" w:cs="宋体"/>
          <w:color w:val="auto"/>
          <w:kern w:val="0"/>
          <w:sz w:val="32"/>
          <w:szCs w:val="32"/>
          <w:lang w:eastAsia="zh-CN"/>
        </w:rPr>
        <w:t>（</w:t>
      </w:r>
      <w:r>
        <w:rPr>
          <w:rFonts w:hint="eastAsia" w:ascii="方正仿宋_GBK" w:hAnsi="微软雅黑" w:eastAsia="方正仿宋_GBK" w:cs="宋体"/>
          <w:color w:val="auto"/>
          <w:kern w:val="0"/>
          <w:sz w:val="32"/>
          <w:szCs w:val="32"/>
        </w:rPr>
        <w:t>2019年6月29日第十三届全国人民代表大会常务委员会第十一次会议通过</w:t>
      </w:r>
      <w:r>
        <w:rPr>
          <w:rFonts w:hint="eastAsia" w:ascii="方正仿宋_GBK" w:hAnsi="微软雅黑" w:eastAsia="方正仿宋_GBK" w:cs="宋体"/>
          <w:color w:val="auto"/>
          <w:kern w:val="0"/>
          <w:sz w:val="32"/>
          <w:szCs w:val="32"/>
          <w:lang w:eastAsia="zh-CN"/>
        </w:rPr>
        <w:t>）；</w:t>
      </w:r>
    </w:p>
    <w:p>
      <w:pPr>
        <w:keepNext w:val="0"/>
        <w:keepLines w:val="0"/>
        <w:pageBreakBefore w:val="0"/>
        <w:widowControl w:val="0"/>
        <w:kinsoku/>
        <w:wordWrap/>
        <w:overflowPunct/>
        <w:topLinePunct w:val="0"/>
        <w:autoSpaceDE/>
        <w:autoSpaceDN/>
        <w:bidi w:val="0"/>
        <w:adjustRightInd w:val="0"/>
        <w:snapToGrid w:val="0"/>
        <w:spacing w:line="590" w:lineRule="atLeast"/>
        <w:ind w:firstLine="640" w:firstLineChars="200"/>
        <w:textAlignment w:val="auto"/>
        <w:rPr>
          <w:rFonts w:hint="eastAsia" w:ascii="方正仿宋_GBK" w:hAnsi="微软雅黑" w:eastAsia="方正仿宋_GBK" w:cs="宋体"/>
          <w:color w:val="auto"/>
          <w:kern w:val="0"/>
          <w:sz w:val="32"/>
          <w:szCs w:val="32"/>
          <w:lang w:eastAsia="zh-CN"/>
        </w:rPr>
      </w:pPr>
      <w:r>
        <w:rPr>
          <w:rFonts w:hint="eastAsia" w:ascii="方正仿宋_GBK" w:hAnsi="微软雅黑" w:eastAsia="方正仿宋_GBK" w:cs="宋体"/>
          <w:color w:val="auto"/>
          <w:kern w:val="0"/>
          <w:sz w:val="32"/>
          <w:szCs w:val="32"/>
          <w:lang w:val="en-US" w:eastAsia="zh-CN"/>
        </w:rPr>
        <w:t>3.《药品生产监督管理办法》（2020年3月30日公布，</w:t>
      </w:r>
      <w:r>
        <w:rPr>
          <w:rFonts w:hint="eastAsia" w:ascii="方正仿宋_GBK" w:hAnsi="微软雅黑" w:eastAsia="方正仿宋_GBK" w:cs="宋体"/>
          <w:color w:val="auto"/>
          <w:kern w:val="0"/>
          <w:sz w:val="32"/>
          <w:szCs w:val="32"/>
        </w:rPr>
        <w:t>国家市场监督管理总局令第28号</w:t>
      </w:r>
      <w:r>
        <w:rPr>
          <w:rFonts w:hint="eastAsia" w:ascii="方正仿宋_GBK" w:hAnsi="微软雅黑" w:eastAsia="方正仿宋_GBK" w:cs="宋体"/>
          <w:color w:val="auto"/>
          <w:kern w:val="0"/>
          <w:sz w:val="32"/>
          <w:szCs w:val="32"/>
          <w:lang w:eastAsia="zh-CN"/>
        </w:rPr>
        <w:t>）；</w:t>
      </w:r>
    </w:p>
    <w:p>
      <w:pPr>
        <w:keepNext w:val="0"/>
        <w:keepLines w:val="0"/>
        <w:pageBreakBefore w:val="0"/>
        <w:widowControl w:val="0"/>
        <w:kinsoku/>
        <w:wordWrap/>
        <w:overflowPunct/>
        <w:topLinePunct w:val="0"/>
        <w:autoSpaceDE/>
        <w:autoSpaceDN/>
        <w:bidi w:val="0"/>
        <w:adjustRightInd w:val="0"/>
        <w:snapToGrid w:val="0"/>
        <w:spacing w:line="590" w:lineRule="atLeast"/>
        <w:ind w:firstLine="640" w:firstLineChars="200"/>
        <w:textAlignment w:val="auto"/>
        <w:rPr>
          <w:rFonts w:hint="eastAsia" w:ascii="方正仿宋_GBK" w:hAnsi="微软雅黑" w:eastAsia="方正仿宋_GBK" w:cs="宋体"/>
          <w:color w:val="auto"/>
          <w:kern w:val="0"/>
          <w:sz w:val="32"/>
          <w:szCs w:val="32"/>
          <w:lang w:eastAsia="zh-CN"/>
        </w:rPr>
      </w:pPr>
      <w:r>
        <w:rPr>
          <w:rFonts w:hint="eastAsia" w:ascii="方正仿宋_GBK" w:hAnsi="微软雅黑" w:eastAsia="方正仿宋_GBK" w:cs="宋体"/>
          <w:color w:val="auto"/>
          <w:kern w:val="0"/>
          <w:sz w:val="32"/>
          <w:szCs w:val="32"/>
          <w:lang w:val="en-US" w:eastAsia="zh-CN"/>
        </w:rPr>
        <w:t>4.</w:t>
      </w:r>
      <w:r>
        <w:rPr>
          <w:rFonts w:hint="eastAsia" w:ascii="方正仿宋_GBK" w:hAnsi="微软雅黑" w:eastAsia="方正仿宋_GBK" w:cs="宋体"/>
          <w:color w:val="auto"/>
          <w:kern w:val="0"/>
          <w:sz w:val="32"/>
          <w:szCs w:val="32"/>
        </w:rPr>
        <w:t>《医疗器械监督管理条例》</w:t>
      </w:r>
      <w:r>
        <w:rPr>
          <w:rFonts w:hint="eastAsia" w:ascii="方正仿宋_GBK" w:hAnsi="微软雅黑" w:eastAsia="方正仿宋_GBK" w:cs="宋体"/>
          <w:color w:val="auto"/>
          <w:kern w:val="0"/>
          <w:sz w:val="32"/>
          <w:szCs w:val="32"/>
          <w:lang w:eastAsia="zh-CN"/>
        </w:rPr>
        <w:t>（</w:t>
      </w:r>
      <w:r>
        <w:rPr>
          <w:rFonts w:hint="eastAsia" w:ascii="方正仿宋_GBK" w:hAnsi="微软雅黑" w:eastAsia="方正仿宋_GBK" w:cs="宋体"/>
          <w:color w:val="auto"/>
          <w:kern w:val="0"/>
          <w:sz w:val="32"/>
          <w:szCs w:val="32"/>
          <w:lang w:val="en-US" w:eastAsia="zh-CN"/>
        </w:rPr>
        <w:t>2021年3月18日公布，国务院令第739号</w:t>
      </w:r>
      <w:r>
        <w:rPr>
          <w:rFonts w:hint="eastAsia" w:ascii="方正仿宋_GBK" w:hAnsi="微软雅黑" w:eastAsia="方正仿宋_GBK" w:cs="宋体"/>
          <w:color w:val="auto"/>
          <w:kern w:val="0"/>
          <w:sz w:val="32"/>
          <w:szCs w:val="32"/>
          <w:lang w:eastAsia="zh-CN"/>
        </w:rPr>
        <w:t>）；</w:t>
      </w:r>
    </w:p>
    <w:p>
      <w:pPr>
        <w:keepNext w:val="0"/>
        <w:keepLines w:val="0"/>
        <w:pageBreakBefore w:val="0"/>
        <w:widowControl w:val="0"/>
        <w:kinsoku/>
        <w:wordWrap/>
        <w:overflowPunct/>
        <w:topLinePunct w:val="0"/>
        <w:autoSpaceDE/>
        <w:autoSpaceDN/>
        <w:bidi w:val="0"/>
        <w:adjustRightInd w:val="0"/>
        <w:snapToGrid w:val="0"/>
        <w:spacing w:line="590" w:lineRule="atLeast"/>
        <w:ind w:firstLine="640" w:firstLineChars="200"/>
        <w:textAlignment w:val="auto"/>
        <w:rPr>
          <w:rFonts w:hint="eastAsia" w:ascii="方正仿宋_GBK" w:hAnsi="微软雅黑" w:eastAsia="方正仿宋_GBK" w:cs="宋体"/>
          <w:color w:val="auto"/>
          <w:kern w:val="0"/>
          <w:sz w:val="32"/>
          <w:szCs w:val="32"/>
          <w:lang w:eastAsia="zh-CN"/>
        </w:rPr>
      </w:pPr>
      <w:r>
        <w:rPr>
          <w:rFonts w:hint="eastAsia" w:ascii="方正仿宋_GBK" w:hAnsi="微软雅黑" w:eastAsia="方正仿宋_GBK" w:cs="宋体"/>
          <w:color w:val="auto"/>
          <w:kern w:val="0"/>
          <w:sz w:val="32"/>
          <w:szCs w:val="32"/>
          <w:lang w:val="en-US" w:eastAsia="zh-CN"/>
        </w:rPr>
        <w:t>5.《医疗器械生产监督管理办法》（</w:t>
      </w:r>
      <w:r>
        <w:rPr>
          <w:rFonts w:hint="eastAsia" w:ascii="方正仿宋_GBK" w:hAnsi="微软雅黑" w:eastAsia="方正仿宋_GBK" w:cs="宋体"/>
          <w:color w:val="auto"/>
          <w:kern w:val="0"/>
          <w:sz w:val="32"/>
          <w:szCs w:val="32"/>
        </w:rPr>
        <w:t>2022</w:t>
      </w:r>
      <w:r>
        <w:rPr>
          <w:rFonts w:hint="eastAsia" w:ascii="方正仿宋_GBK" w:hAnsi="微软雅黑" w:eastAsia="方正仿宋_GBK" w:cs="宋体"/>
          <w:color w:val="auto"/>
          <w:kern w:val="0"/>
          <w:sz w:val="32"/>
          <w:szCs w:val="32"/>
          <w:lang w:eastAsia="zh-CN"/>
        </w:rPr>
        <w:t>年</w:t>
      </w:r>
      <w:r>
        <w:rPr>
          <w:rFonts w:hint="eastAsia" w:ascii="方正仿宋_GBK" w:hAnsi="微软雅黑" w:eastAsia="方正仿宋_GBK" w:cs="宋体"/>
          <w:color w:val="auto"/>
          <w:kern w:val="0"/>
          <w:sz w:val="32"/>
          <w:szCs w:val="32"/>
        </w:rPr>
        <w:t>3</w:t>
      </w:r>
      <w:r>
        <w:rPr>
          <w:rFonts w:hint="eastAsia" w:ascii="方正仿宋_GBK" w:hAnsi="微软雅黑" w:eastAsia="方正仿宋_GBK" w:cs="宋体"/>
          <w:color w:val="auto"/>
          <w:kern w:val="0"/>
          <w:sz w:val="32"/>
          <w:szCs w:val="32"/>
          <w:lang w:eastAsia="zh-CN"/>
        </w:rPr>
        <w:t>月</w:t>
      </w:r>
      <w:r>
        <w:rPr>
          <w:rFonts w:hint="eastAsia" w:ascii="方正仿宋_GBK" w:hAnsi="微软雅黑" w:eastAsia="方正仿宋_GBK" w:cs="宋体"/>
          <w:color w:val="auto"/>
          <w:kern w:val="0"/>
          <w:sz w:val="32"/>
          <w:szCs w:val="32"/>
        </w:rPr>
        <w:t>10</w:t>
      </w:r>
      <w:r>
        <w:rPr>
          <w:rFonts w:hint="eastAsia" w:ascii="方正仿宋_GBK" w:hAnsi="微软雅黑" w:eastAsia="方正仿宋_GBK" w:cs="宋体"/>
          <w:color w:val="auto"/>
          <w:kern w:val="0"/>
          <w:sz w:val="32"/>
          <w:szCs w:val="32"/>
          <w:lang w:eastAsia="zh-CN"/>
        </w:rPr>
        <w:t>日</w:t>
      </w:r>
      <w:r>
        <w:rPr>
          <w:rFonts w:hint="eastAsia" w:ascii="方正仿宋_GBK" w:hAnsi="微软雅黑" w:eastAsia="方正仿宋_GBK" w:cs="宋体"/>
          <w:color w:val="auto"/>
          <w:kern w:val="0"/>
          <w:sz w:val="32"/>
          <w:szCs w:val="32"/>
        </w:rPr>
        <w:t>公布</w:t>
      </w:r>
      <w:r>
        <w:rPr>
          <w:rFonts w:hint="eastAsia" w:ascii="方正仿宋_GBK" w:hAnsi="微软雅黑" w:eastAsia="方正仿宋_GBK" w:cs="宋体"/>
          <w:color w:val="auto"/>
          <w:kern w:val="0"/>
          <w:sz w:val="32"/>
          <w:szCs w:val="32"/>
          <w:lang w:eastAsia="zh-CN"/>
        </w:rPr>
        <w:t>，</w:t>
      </w:r>
      <w:r>
        <w:rPr>
          <w:rFonts w:hint="eastAsia" w:ascii="方正仿宋_GBK" w:hAnsi="微软雅黑" w:eastAsia="方正仿宋_GBK" w:cs="宋体"/>
          <w:color w:val="auto"/>
          <w:kern w:val="0"/>
          <w:sz w:val="32"/>
          <w:szCs w:val="32"/>
        </w:rPr>
        <w:t>国家市场监督管理总局令第53号</w:t>
      </w:r>
      <w:r>
        <w:rPr>
          <w:rFonts w:hint="eastAsia" w:ascii="方正仿宋_GBK" w:hAnsi="微软雅黑" w:eastAsia="方正仿宋_GBK" w:cs="宋体"/>
          <w:color w:val="auto"/>
          <w:kern w:val="0"/>
          <w:sz w:val="32"/>
          <w:szCs w:val="32"/>
          <w:lang w:eastAsia="zh-CN"/>
        </w:rPr>
        <w:t>）；</w:t>
      </w:r>
    </w:p>
    <w:p>
      <w:pPr>
        <w:keepNext w:val="0"/>
        <w:keepLines w:val="0"/>
        <w:pageBreakBefore w:val="0"/>
        <w:widowControl w:val="0"/>
        <w:kinsoku/>
        <w:wordWrap/>
        <w:overflowPunct/>
        <w:topLinePunct w:val="0"/>
        <w:autoSpaceDE/>
        <w:autoSpaceDN/>
        <w:bidi w:val="0"/>
        <w:adjustRightInd w:val="0"/>
        <w:snapToGrid w:val="0"/>
        <w:spacing w:line="590" w:lineRule="atLeast"/>
        <w:ind w:firstLine="640" w:firstLineChars="200"/>
        <w:textAlignment w:val="auto"/>
        <w:rPr>
          <w:rFonts w:hint="eastAsia" w:ascii="方正仿宋_GBK" w:hAnsi="微软雅黑" w:eastAsia="方正仿宋_GBK" w:cs="宋体"/>
          <w:color w:val="auto"/>
          <w:kern w:val="0"/>
          <w:sz w:val="32"/>
          <w:szCs w:val="32"/>
          <w:lang w:val="en-US" w:eastAsia="zh-CN"/>
        </w:rPr>
      </w:pPr>
      <w:r>
        <w:rPr>
          <w:rFonts w:hint="eastAsia" w:ascii="方正仿宋_GBK" w:hAnsi="微软雅黑" w:eastAsia="方正仿宋_GBK" w:cs="宋体"/>
          <w:color w:val="auto"/>
          <w:kern w:val="0"/>
          <w:sz w:val="32"/>
          <w:szCs w:val="32"/>
          <w:lang w:val="en-US" w:eastAsia="zh-CN"/>
        </w:rPr>
        <w:t>6.《医疗器械经营监督管理办法》（</w:t>
      </w:r>
      <w:r>
        <w:rPr>
          <w:rFonts w:hint="eastAsia" w:ascii="方正仿宋_GBK" w:hAnsi="微软雅黑" w:eastAsia="方正仿宋_GBK" w:cs="宋体"/>
          <w:color w:val="auto"/>
          <w:kern w:val="0"/>
          <w:sz w:val="32"/>
          <w:szCs w:val="32"/>
        </w:rPr>
        <w:t>2022</w:t>
      </w:r>
      <w:r>
        <w:rPr>
          <w:rFonts w:hint="eastAsia" w:ascii="方正仿宋_GBK" w:hAnsi="微软雅黑" w:eastAsia="方正仿宋_GBK" w:cs="宋体"/>
          <w:color w:val="auto"/>
          <w:kern w:val="0"/>
          <w:sz w:val="32"/>
          <w:szCs w:val="32"/>
          <w:lang w:eastAsia="zh-CN"/>
        </w:rPr>
        <w:t>年</w:t>
      </w:r>
      <w:r>
        <w:rPr>
          <w:rFonts w:hint="eastAsia" w:ascii="方正仿宋_GBK" w:hAnsi="微软雅黑" w:eastAsia="方正仿宋_GBK" w:cs="宋体"/>
          <w:color w:val="auto"/>
          <w:kern w:val="0"/>
          <w:sz w:val="32"/>
          <w:szCs w:val="32"/>
        </w:rPr>
        <w:t>3</w:t>
      </w:r>
      <w:r>
        <w:rPr>
          <w:rFonts w:hint="eastAsia" w:ascii="方正仿宋_GBK" w:hAnsi="微软雅黑" w:eastAsia="方正仿宋_GBK" w:cs="宋体"/>
          <w:color w:val="auto"/>
          <w:kern w:val="0"/>
          <w:sz w:val="32"/>
          <w:szCs w:val="32"/>
          <w:lang w:eastAsia="zh-CN"/>
        </w:rPr>
        <w:t>月</w:t>
      </w:r>
      <w:r>
        <w:rPr>
          <w:rFonts w:hint="eastAsia" w:ascii="方正仿宋_GBK" w:hAnsi="微软雅黑" w:eastAsia="方正仿宋_GBK" w:cs="宋体"/>
          <w:color w:val="auto"/>
          <w:kern w:val="0"/>
          <w:sz w:val="32"/>
          <w:szCs w:val="32"/>
        </w:rPr>
        <w:t>10</w:t>
      </w:r>
      <w:r>
        <w:rPr>
          <w:rFonts w:hint="eastAsia" w:ascii="方正仿宋_GBK" w:hAnsi="微软雅黑" w:eastAsia="方正仿宋_GBK" w:cs="宋体"/>
          <w:color w:val="auto"/>
          <w:kern w:val="0"/>
          <w:sz w:val="32"/>
          <w:szCs w:val="32"/>
          <w:lang w:eastAsia="zh-CN"/>
        </w:rPr>
        <w:t>日</w:t>
      </w:r>
      <w:r>
        <w:rPr>
          <w:rFonts w:hint="eastAsia" w:ascii="方正仿宋_GBK" w:hAnsi="微软雅黑" w:eastAsia="方正仿宋_GBK" w:cs="宋体"/>
          <w:color w:val="auto"/>
          <w:kern w:val="0"/>
          <w:sz w:val="32"/>
          <w:szCs w:val="32"/>
        </w:rPr>
        <w:t>公布</w:t>
      </w:r>
      <w:r>
        <w:rPr>
          <w:rFonts w:hint="eastAsia" w:ascii="方正仿宋_GBK" w:hAnsi="微软雅黑" w:eastAsia="方正仿宋_GBK" w:cs="宋体"/>
          <w:color w:val="auto"/>
          <w:kern w:val="0"/>
          <w:sz w:val="32"/>
          <w:szCs w:val="32"/>
          <w:lang w:eastAsia="zh-CN"/>
        </w:rPr>
        <w:t>，</w:t>
      </w:r>
      <w:r>
        <w:rPr>
          <w:rFonts w:hint="eastAsia" w:ascii="方正仿宋_GBK" w:hAnsi="微软雅黑" w:eastAsia="方正仿宋_GBK" w:cs="宋体"/>
          <w:color w:val="auto"/>
          <w:kern w:val="0"/>
          <w:sz w:val="32"/>
          <w:szCs w:val="32"/>
        </w:rPr>
        <w:t>国家市场监督管理总局令第54号</w:t>
      </w:r>
      <w:r>
        <w:rPr>
          <w:rFonts w:hint="eastAsia" w:ascii="方正仿宋_GBK" w:hAnsi="微软雅黑" w:eastAsia="方正仿宋_GBK" w:cs="宋体"/>
          <w:color w:val="auto"/>
          <w:kern w:val="0"/>
          <w:sz w:val="32"/>
          <w:szCs w:val="32"/>
          <w:lang w:eastAsia="zh-CN"/>
        </w:rPr>
        <w:t>）；</w:t>
      </w:r>
    </w:p>
    <w:p>
      <w:pPr>
        <w:keepNext w:val="0"/>
        <w:keepLines w:val="0"/>
        <w:pageBreakBefore w:val="0"/>
        <w:widowControl w:val="0"/>
        <w:kinsoku/>
        <w:wordWrap/>
        <w:overflowPunct/>
        <w:topLinePunct w:val="0"/>
        <w:autoSpaceDE/>
        <w:autoSpaceDN/>
        <w:bidi w:val="0"/>
        <w:adjustRightInd w:val="0"/>
        <w:snapToGrid w:val="0"/>
        <w:spacing w:line="590" w:lineRule="atLeast"/>
        <w:ind w:firstLine="640" w:firstLineChars="200"/>
        <w:textAlignment w:val="auto"/>
        <w:rPr>
          <w:rFonts w:hint="eastAsia" w:ascii="方正仿宋_GBK" w:hAnsi="微软雅黑" w:eastAsia="方正仿宋_GBK" w:cs="宋体"/>
          <w:color w:val="auto"/>
          <w:kern w:val="0"/>
          <w:sz w:val="32"/>
          <w:szCs w:val="32"/>
          <w:lang w:val="en-US" w:eastAsia="zh-CN"/>
        </w:rPr>
      </w:pPr>
      <w:r>
        <w:rPr>
          <w:rFonts w:hint="eastAsia" w:ascii="方正仿宋_GBK" w:hAnsi="微软雅黑" w:eastAsia="方正仿宋_GBK" w:cs="宋体"/>
          <w:color w:val="auto"/>
          <w:kern w:val="0"/>
          <w:sz w:val="32"/>
          <w:szCs w:val="32"/>
          <w:lang w:val="en-US" w:eastAsia="zh-CN"/>
        </w:rPr>
        <w:t>7.《医疗器械网络销售监督管理办法》（2017年12月22日公布，原国家食品药品监督管理总局令第38号）；</w:t>
      </w:r>
    </w:p>
    <w:p>
      <w:pPr>
        <w:keepNext w:val="0"/>
        <w:keepLines w:val="0"/>
        <w:pageBreakBefore w:val="0"/>
        <w:widowControl w:val="0"/>
        <w:kinsoku/>
        <w:wordWrap/>
        <w:overflowPunct/>
        <w:topLinePunct w:val="0"/>
        <w:autoSpaceDE/>
        <w:autoSpaceDN/>
        <w:bidi w:val="0"/>
        <w:adjustRightInd w:val="0"/>
        <w:snapToGrid w:val="0"/>
        <w:spacing w:line="590" w:lineRule="atLeast"/>
        <w:ind w:firstLine="640" w:firstLineChars="200"/>
        <w:textAlignment w:val="auto"/>
        <w:rPr>
          <w:rFonts w:hint="eastAsia" w:ascii="方正仿宋_GBK" w:hAnsi="微软雅黑" w:eastAsia="方正仿宋_GBK" w:cs="宋体"/>
          <w:color w:val="auto"/>
          <w:kern w:val="0"/>
          <w:sz w:val="32"/>
          <w:szCs w:val="32"/>
          <w:lang w:val="en-US" w:eastAsia="zh-CN"/>
        </w:rPr>
      </w:pPr>
      <w:r>
        <w:rPr>
          <w:rFonts w:hint="eastAsia" w:ascii="方正仿宋_GBK" w:hAnsi="微软雅黑" w:eastAsia="方正仿宋_GBK" w:cs="宋体"/>
          <w:color w:val="auto"/>
          <w:kern w:val="0"/>
          <w:sz w:val="32"/>
          <w:szCs w:val="32"/>
          <w:lang w:val="en-US" w:eastAsia="zh-CN"/>
        </w:rPr>
        <w:t>8.</w:t>
      </w:r>
      <w:r>
        <w:rPr>
          <w:rFonts w:hint="eastAsia" w:ascii="方正仿宋_GBK" w:hAnsi="微软雅黑" w:eastAsia="方正仿宋_GBK" w:cs="宋体"/>
          <w:color w:val="auto"/>
          <w:kern w:val="0"/>
          <w:sz w:val="32"/>
          <w:szCs w:val="32"/>
        </w:rPr>
        <w:t>《化妆品监督管理条例》</w:t>
      </w:r>
      <w:r>
        <w:rPr>
          <w:rFonts w:hint="eastAsia" w:ascii="方正仿宋_GBK" w:hAnsi="微软雅黑" w:eastAsia="方正仿宋_GBK" w:cs="宋体"/>
          <w:color w:val="auto"/>
          <w:kern w:val="0"/>
          <w:sz w:val="32"/>
          <w:szCs w:val="32"/>
          <w:lang w:eastAsia="zh-CN"/>
        </w:rPr>
        <w:t>（</w:t>
      </w:r>
      <w:r>
        <w:rPr>
          <w:rFonts w:hint="eastAsia" w:ascii="方正仿宋_GBK" w:hAnsi="微软雅黑" w:eastAsia="方正仿宋_GBK" w:cs="宋体"/>
          <w:color w:val="auto"/>
          <w:kern w:val="0"/>
          <w:sz w:val="32"/>
          <w:szCs w:val="32"/>
        </w:rPr>
        <w:t>2020</w:t>
      </w:r>
      <w:r>
        <w:rPr>
          <w:rFonts w:hint="eastAsia" w:ascii="方正仿宋_GBK" w:hAnsi="微软雅黑" w:eastAsia="方正仿宋_GBK" w:cs="宋体"/>
          <w:color w:val="auto"/>
          <w:kern w:val="0"/>
          <w:sz w:val="32"/>
          <w:szCs w:val="32"/>
          <w:lang w:eastAsia="zh-CN"/>
        </w:rPr>
        <w:t>年</w:t>
      </w:r>
      <w:r>
        <w:rPr>
          <w:rFonts w:hint="eastAsia" w:ascii="方正仿宋_GBK" w:hAnsi="微软雅黑" w:eastAsia="方正仿宋_GBK" w:cs="宋体"/>
          <w:color w:val="auto"/>
          <w:kern w:val="0"/>
          <w:sz w:val="32"/>
          <w:szCs w:val="32"/>
        </w:rPr>
        <w:t>6</w:t>
      </w:r>
      <w:r>
        <w:rPr>
          <w:rFonts w:hint="eastAsia" w:ascii="方正仿宋_GBK" w:hAnsi="微软雅黑" w:eastAsia="方正仿宋_GBK" w:cs="宋体"/>
          <w:color w:val="auto"/>
          <w:kern w:val="0"/>
          <w:sz w:val="32"/>
          <w:szCs w:val="32"/>
          <w:lang w:eastAsia="zh-CN"/>
        </w:rPr>
        <w:t>月</w:t>
      </w:r>
      <w:r>
        <w:rPr>
          <w:rFonts w:hint="eastAsia" w:ascii="方正仿宋_GBK" w:hAnsi="微软雅黑" w:eastAsia="方正仿宋_GBK" w:cs="宋体"/>
          <w:color w:val="auto"/>
          <w:kern w:val="0"/>
          <w:sz w:val="32"/>
          <w:szCs w:val="32"/>
        </w:rPr>
        <w:t>29</w:t>
      </w:r>
      <w:r>
        <w:rPr>
          <w:rFonts w:hint="eastAsia" w:ascii="方正仿宋_GBK" w:hAnsi="微软雅黑" w:eastAsia="方正仿宋_GBK" w:cs="宋体"/>
          <w:color w:val="auto"/>
          <w:kern w:val="0"/>
          <w:sz w:val="32"/>
          <w:szCs w:val="32"/>
          <w:lang w:eastAsia="zh-CN"/>
        </w:rPr>
        <w:t>日公布，</w:t>
      </w:r>
      <w:r>
        <w:rPr>
          <w:rFonts w:hint="eastAsia" w:ascii="方正仿宋_GBK" w:hAnsi="微软雅黑" w:eastAsia="方正仿宋_GBK" w:cs="宋体"/>
          <w:color w:val="auto"/>
          <w:kern w:val="0"/>
          <w:sz w:val="32"/>
          <w:szCs w:val="32"/>
        </w:rPr>
        <w:t>国务院令第727号</w:t>
      </w:r>
      <w:r>
        <w:rPr>
          <w:rFonts w:hint="eastAsia" w:ascii="方正仿宋_GBK" w:hAnsi="微软雅黑" w:eastAsia="方正仿宋_GBK" w:cs="宋体"/>
          <w:color w:val="auto"/>
          <w:kern w:val="0"/>
          <w:sz w:val="32"/>
          <w:szCs w:val="32"/>
          <w:lang w:eastAsia="zh-CN"/>
        </w:rPr>
        <w:t>）；</w:t>
      </w:r>
    </w:p>
    <w:p>
      <w:pPr>
        <w:keepNext w:val="0"/>
        <w:keepLines w:val="0"/>
        <w:pageBreakBefore w:val="0"/>
        <w:widowControl w:val="0"/>
        <w:kinsoku/>
        <w:wordWrap/>
        <w:overflowPunct/>
        <w:topLinePunct w:val="0"/>
        <w:autoSpaceDE/>
        <w:autoSpaceDN/>
        <w:bidi w:val="0"/>
        <w:adjustRightInd w:val="0"/>
        <w:snapToGrid w:val="0"/>
        <w:spacing w:line="590" w:lineRule="atLeast"/>
        <w:ind w:firstLine="640" w:firstLineChars="200"/>
        <w:textAlignment w:val="auto"/>
        <w:rPr>
          <w:rFonts w:hint="eastAsia" w:ascii="方正仿宋_GBK" w:hAnsi="微软雅黑" w:eastAsia="方正仿宋_GBK" w:cs="宋体"/>
          <w:color w:val="auto"/>
          <w:kern w:val="0"/>
          <w:sz w:val="32"/>
          <w:szCs w:val="32"/>
          <w:lang w:val="en-US" w:eastAsia="zh-CN"/>
        </w:rPr>
      </w:pPr>
      <w:r>
        <w:rPr>
          <w:rFonts w:hint="eastAsia" w:ascii="方正仿宋_GBK" w:hAnsi="微软雅黑" w:eastAsia="方正仿宋_GBK" w:cs="宋体"/>
          <w:color w:val="auto"/>
          <w:kern w:val="0"/>
          <w:sz w:val="32"/>
          <w:szCs w:val="32"/>
          <w:lang w:val="en-US" w:eastAsia="zh-CN"/>
        </w:rPr>
        <w:t>9.《国家药监局关于印发〈国家药品监督管理局药品安全责任约谈办法〉的通知》（2022年2月24日印发，国药监法〔2022〕10号）；</w:t>
      </w:r>
    </w:p>
    <w:p>
      <w:pPr>
        <w:keepNext w:val="0"/>
        <w:keepLines w:val="0"/>
        <w:pageBreakBefore w:val="0"/>
        <w:widowControl w:val="0"/>
        <w:kinsoku/>
        <w:wordWrap/>
        <w:overflowPunct/>
        <w:topLinePunct w:val="0"/>
        <w:autoSpaceDE/>
        <w:autoSpaceDN/>
        <w:bidi w:val="0"/>
        <w:adjustRightInd w:val="0"/>
        <w:snapToGrid w:val="0"/>
        <w:spacing w:line="590" w:lineRule="atLeast"/>
        <w:ind w:firstLine="640" w:firstLineChars="200"/>
        <w:textAlignment w:val="auto"/>
        <w:rPr>
          <w:rFonts w:hint="eastAsia" w:ascii="方正仿宋_GBK" w:hAnsi="微软雅黑" w:eastAsia="方正仿宋_GBK" w:cs="宋体"/>
          <w:color w:val="auto"/>
          <w:kern w:val="0"/>
          <w:sz w:val="32"/>
          <w:szCs w:val="32"/>
          <w:lang w:val="en-US" w:eastAsia="zh-CN"/>
        </w:rPr>
      </w:pPr>
      <w:r>
        <w:rPr>
          <w:rFonts w:hint="eastAsia" w:ascii="方正仿宋_GBK" w:hAnsi="微软雅黑" w:eastAsia="方正仿宋_GBK" w:cs="宋体"/>
          <w:color w:val="auto"/>
          <w:kern w:val="0"/>
          <w:sz w:val="32"/>
          <w:szCs w:val="32"/>
          <w:lang w:val="en-US" w:eastAsia="zh-CN"/>
        </w:rPr>
        <w:t>10.《国家药监局关于发布〈企业落实化妆品质量安全主体责任监督管理规定〉的公告》（2022年12月29日发布，2022年第125号）。</w:t>
      </w:r>
    </w:p>
    <w:p>
      <w:pPr>
        <w:keepNext w:val="0"/>
        <w:keepLines w:val="0"/>
        <w:pageBreakBefore w:val="0"/>
        <w:widowControl w:val="0"/>
        <w:kinsoku/>
        <w:wordWrap/>
        <w:overflowPunct/>
        <w:topLinePunct w:val="0"/>
        <w:autoSpaceDE/>
        <w:autoSpaceDN/>
        <w:bidi w:val="0"/>
        <w:adjustRightInd w:val="0"/>
        <w:snapToGrid w:val="0"/>
        <w:spacing w:line="590" w:lineRule="atLeast"/>
        <w:ind w:firstLine="640" w:firstLineChars="200"/>
        <w:textAlignment w:val="auto"/>
        <w:rPr>
          <w:rFonts w:ascii="方正黑体_GBK" w:eastAsia="方正黑体_GBK"/>
          <w:color w:val="auto"/>
          <w:sz w:val="32"/>
          <w:szCs w:val="32"/>
        </w:rPr>
      </w:pPr>
      <w:r>
        <w:rPr>
          <w:rFonts w:hint="eastAsia" w:ascii="方正黑体_GBK" w:eastAsia="方正黑体_GBK"/>
          <w:color w:val="auto"/>
          <w:sz w:val="32"/>
          <w:szCs w:val="32"/>
        </w:rPr>
        <w:t>四、</w:t>
      </w:r>
      <w:r>
        <w:rPr>
          <w:rFonts w:hint="eastAsia" w:ascii="方正黑体_GBK" w:eastAsia="方正黑体_GBK"/>
          <w:color w:val="auto"/>
          <w:sz w:val="32"/>
          <w:szCs w:val="32"/>
          <w:lang w:eastAsia="zh-CN"/>
        </w:rPr>
        <w:t>征求意见稿的</w:t>
      </w:r>
      <w:r>
        <w:rPr>
          <w:rFonts w:hint="eastAsia" w:ascii="方正黑体_GBK" w:eastAsia="方正黑体_GBK"/>
          <w:color w:val="auto"/>
          <w:sz w:val="32"/>
          <w:szCs w:val="32"/>
        </w:rPr>
        <w:t>主要内容</w:t>
      </w:r>
    </w:p>
    <w:p>
      <w:pPr>
        <w:keepNext w:val="0"/>
        <w:keepLines w:val="0"/>
        <w:pageBreakBefore w:val="0"/>
        <w:widowControl w:val="0"/>
        <w:kinsoku/>
        <w:wordWrap/>
        <w:overflowPunct/>
        <w:topLinePunct w:val="0"/>
        <w:autoSpaceDE/>
        <w:autoSpaceDN/>
        <w:bidi w:val="0"/>
        <w:adjustRightInd w:val="0"/>
        <w:snapToGrid w:val="0"/>
        <w:spacing w:line="590" w:lineRule="atLeast"/>
        <w:ind w:firstLine="640" w:firstLineChars="200"/>
        <w:textAlignment w:val="auto"/>
        <w:rPr>
          <w:rFonts w:hint="eastAsia" w:ascii="方正仿宋_GBK" w:hAnsi="方正仿宋_GBK" w:eastAsia="方正仿宋_GBK" w:cs="方正仿宋_GBK"/>
          <w:color w:val="auto"/>
          <w:sz w:val="32"/>
          <w:szCs w:val="32"/>
          <w:lang w:val="en-US" w:eastAsia="zh-CN"/>
        </w:rPr>
      </w:pPr>
      <w:r>
        <w:rPr>
          <w:rFonts w:hint="eastAsia" w:ascii="Times New Roman" w:hAnsi="Times New Roman" w:eastAsia="方正楷体_GBK" w:cs="Times New Roman"/>
          <w:color w:val="auto"/>
          <w:sz w:val="32"/>
          <w:szCs w:val="32"/>
        </w:rPr>
        <w:t>（一）明确办法的适用范围。</w:t>
      </w:r>
      <w:r>
        <w:rPr>
          <w:rFonts w:hint="eastAsia" w:ascii="Times New Roman" w:hAnsi="Times New Roman" w:eastAsia="方正仿宋_GBK" w:cs="Times New Roman"/>
          <w:color w:val="auto"/>
          <w:sz w:val="32"/>
          <w:szCs w:val="32"/>
          <w:lang w:val="en-US" w:eastAsia="zh-CN"/>
        </w:rPr>
        <w:t>征求意见稿</w:t>
      </w:r>
      <w:r>
        <w:rPr>
          <w:rFonts w:hint="eastAsia" w:ascii="Times New Roman" w:hAnsi="Times New Roman" w:eastAsia="方正仿宋_GBK" w:cs="Times New Roman"/>
          <w:color w:val="auto"/>
          <w:sz w:val="32"/>
          <w:szCs w:val="32"/>
        </w:rPr>
        <w:t>在第二条</w:t>
      </w:r>
      <w:r>
        <w:rPr>
          <w:rFonts w:hint="eastAsia" w:ascii="Times New Roman" w:hAnsi="Times New Roman" w:eastAsia="方正仿宋_GBK" w:cs="Times New Roman"/>
          <w:color w:val="auto"/>
          <w:sz w:val="32"/>
          <w:szCs w:val="32"/>
          <w:lang w:val="en-US" w:eastAsia="zh-CN"/>
        </w:rPr>
        <w:t>拟定，</w:t>
      </w:r>
      <w:r>
        <w:rPr>
          <w:rFonts w:hint="eastAsia" w:ascii="方正仿宋_GBK" w:hAnsi="方正仿宋_GBK" w:eastAsia="方正仿宋_GBK" w:cs="方正仿宋_GBK"/>
          <w:color w:val="auto"/>
          <w:sz w:val="32"/>
          <w:szCs w:val="32"/>
        </w:rPr>
        <w:t>全</w:t>
      </w:r>
      <w:r>
        <w:rPr>
          <w:rFonts w:hint="eastAsia" w:ascii="方正仿宋_GBK" w:hAnsi="方正仿宋_GBK" w:eastAsia="方正仿宋_GBK" w:cs="方正仿宋_GBK"/>
          <w:color w:val="auto"/>
          <w:kern w:val="2"/>
          <w:sz w:val="32"/>
          <w:szCs w:val="32"/>
        </w:rPr>
        <w:t>省各级承担药品监督管理职责的部门（以下称药品监督管理部门）在依法</w:t>
      </w:r>
      <w:r>
        <w:rPr>
          <w:rFonts w:hint="eastAsia" w:ascii="方正仿宋_GBK" w:hAnsi="方正仿宋_GBK" w:eastAsia="方正仿宋_GBK" w:cs="方正仿宋_GBK"/>
          <w:color w:val="auto"/>
          <w:kern w:val="2"/>
          <w:sz w:val="32"/>
          <w:szCs w:val="32"/>
          <w:lang w:val="en-US" w:eastAsia="zh-CN"/>
        </w:rPr>
        <w:t>实施药品、</w:t>
      </w:r>
      <w:r>
        <w:rPr>
          <w:rFonts w:hint="eastAsia" w:ascii="方正仿宋_GBK" w:hAnsi="方正仿宋_GBK" w:eastAsia="方正仿宋_GBK" w:cs="方正仿宋_GBK"/>
          <w:color w:val="auto"/>
          <w:kern w:val="2"/>
          <w:sz w:val="32"/>
          <w:szCs w:val="32"/>
        </w:rPr>
        <w:t>医疗器械、化妆品</w:t>
      </w:r>
      <w:r>
        <w:rPr>
          <w:rFonts w:hint="eastAsia" w:ascii="方正仿宋_GBK" w:hAnsi="方正仿宋_GBK" w:eastAsia="方正仿宋_GBK" w:cs="方正仿宋_GBK"/>
          <w:color w:val="auto"/>
          <w:sz w:val="32"/>
          <w:szCs w:val="32"/>
          <w:lang w:val="en-US" w:eastAsia="zh-CN"/>
        </w:rPr>
        <w:t>监督管理过程中</w:t>
      </w:r>
      <w:r>
        <w:rPr>
          <w:rFonts w:hint="eastAsia" w:ascii="方正仿宋_GBK" w:hAnsi="方正仿宋_GBK" w:eastAsia="方正仿宋_GBK" w:cs="方正仿宋_GBK"/>
          <w:color w:val="auto"/>
          <w:sz w:val="32"/>
          <w:szCs w:val="32"/>
        </w:rPr>
        <w:t>实施</w:t>
      </w:r>
      <w:r>
        <w:rPr>
          <w:rFonts w:hint="eastAsia" w:ascii="方正仿宋_GBK" w:hAnsi="方正仿宋_GBK" w:eastAsia="方正仿宋_GBK" w:cs="方正仿宋_GBK"/>
          <w:color w:val="auto"/>
          <w:sz w:val="32"/>
          <w:szCs w:val="32"/>
          <w:lang w:eastAsia="zh-CN"/>
        </w:rPr>
        <w:t>责任</w:t>
      </w:r>
      <w:r>
        <w:rPr>
          <w:rFonts w:hint="eastAsia" w:ascii="方正仿宋_GBK" w:hAnsi="方正仿宋_GBK" w:eastAsia="方正仿宋_GBK" w:cs="方正仿宋_GBK"/>
          <w:color w:val="auto"/>
          <w:sz w:val="32"/>
          <w:szCs w:val="32"/>
        </w:rPr>
        <w:t>约谈，适用本</w:t>
      </w:r>
      <w:r>
        <w:rPr>
          <w:rFonts w:hint="eastAsia" w:ascii="方正仿宋_GBK" w:hAnsi="方正仿宋_GBK" w:eastAsia="方正仿宋_GBK" w:cs="方正仿宋_GBK"/>
          <w:color w:val="auto"/>
          <w:sz w:val="32"/>
          <w:szCs w:val="32"/>
          <w:lang w:val="en-US" w:eastAsia="zh-CN"/>
        </w:rPr>
        <w:t>办法</w:t>
      </w:r>
      <w:r>
        <w:rPr>
          <w:rFonts w:hint="eastAsia" w:ascii="方正仿宋_GBK" w:hAnsi="方正仿宋_GBK" w:eastAsia="方正仿宋_GBK" w:cs="方正仿宋_GBK"/>
          <w:color w:val="auto"/>
          <w:sz w:val="32"/>
          <w:szCs w:val="32"/>
        </w:rPr>
        <w:t>。</w:t>
      </w:r>
    </w:p>
    <w:p>
      <w:pPr>
        <w:keepNext w:val="0"/>
        <w:keepLines w:val="0"/>
        <w:pageBreakBefore w:val="0"/>
        <w:widowControl w:val="0"/>
        <w:kinsoku/>
        <w:wordWrap/>
        <w:overflowPunct/>
        <w:topLinePunct w:val="0"/>
        <w:autoSpaceDE/>
        <w:autoSpaceDN/>
        <w:bidi w:val="0"/>
        <w:adjustRightInd w:val="0"/>
        <w:snapToGrid w:val="0"/>
        <w:spacing w:line="590" w:lineRule="atLeast"/>
        <w:ind w:left="0" w:leftChars="0" w:firstLine="640" w:firstLineChars="200"/>
        <w:textAlignment w:val="auto"/>
        <w:rPr>
          <w:rFonts w:hint="eastAsia" w:ascii="方正仿宋_GBK" w:hAnsi="方正仿宋_GBK" w:eastAsia="方正仿宋_GBK" w:cs="方正仿宋_GBK"/>
          <w:color w:val="auto"/>
          <w:sz w:val="32"/>
          <w:szCs w:val="32"/>
        </w:rPr>
      </w:pPr>
      <w:r>
        <w:rPr>
          <w:rFonts w:hint="eastAsia" w:ascii="Times New Roman" w:hAnsi="Times New Roman" w:eastAsia="方正楷体_GBK" w:cs="Times New Roman"/>
          <w:color w:val="auto"/>
          <w:sz w:val="32"/>
          <w:szCs w:val="32"/>
          <w:lang w:val="en-US" w:eastAsia="zh-CN"/>
        </w:rPr>
        <w:t>（二）明确责任约谈的含义。</w:t>
      </w:r>
      <w:r>
        <w:rPr>
          <w:rFonts w:hint="eastAsia" w:ascii="Times New Roman" w:hAnsi="Times New Roman" w:eastAsia="方正仿宋_GBK" w:cs="Times New Roman"/>
          <w:color w:val="auto"/>
          <w:sz w:val="32"/>
          <w:szCs w:val="32"/>
          <w:lang w:val="en-US" w:eastAsia="zh-CN"/>
        </w:rPr>
        <w:t>征求意见稿</w:t>
      </w:r>
      <w:r>
        <w:rPr>
          <w:rFonts w:hint="eastAsia" w:ascii="方正仿宋_GBK" w:hAnsi="方正仿宋_GBK" w:eastAsia="方正仿宋_GBK" w:cs="方正仿宋_GBK"/>
          <w:color w:val="auto"/>
          <w:sz w:val="32"/>
          <w:szCs w:val="32"/>
          <w:lang w:val="en-US" w:eastAsia="zh-CN"/>
        </w:rPr>
        <w:t>在第三条拟定，责任</w:t>
      </w:r>
      <w:r>
        <w:rPr>
          <w:rFonts w:hint="eastAsia" w:ascii="方正仿宋_GBK" w:hAnsi="方正仿宋_GBK" w:eastAsia="方正仿宋_GBK" w:cs="方正仿宋_GBK"/>
          <w:color w:val="auto"/>
          <w:sz w:val="32"/>
          <w:szCs w:val="32"/>
        </w:rPr>
        <w:t>约谈是指药品监</w:t>
      </w:r>
      <w:r>
        <w:rPr>
          <w:rFonts w:hint="eastAsia" w:ascii="方正仿宋_GBK" w:hAnsi="方正仿宋_GBK" w:eastAsia="方正仿宋_GBK" w:cs="方正仿宋_GBK"/>
          <w:color w:val="auto"/>
          <w:sz w:val="32"/>
          <w:szCs w:val="32"/>
          <w:lang w:val="en-US" w:eastAsia="zh-CN"/>
        </w:rPr>
        <w:t>督</w:t>
      </w:r>
      <w:r>
        <w:rPr>
          <w:rFonts w:hint="eastAsia" w:ascii="方正仿宋_GBK" w:hAnsi="方正仿宋_GBK" w:eastAsia="方正仿宋_GBK" w:cs="方正仿宋_GBK"/>
          <w:color w:val="auto"/>
          <w:sz w:val="32"/>
          <w:szCs w:val="32"/>
        </w:rPr>
        <w:t>管</w:t>
      </w:r>
      <w:r>
        <w:rPr>
          <w:rFonts w:hint="eastAsia" w:ascii="方正仿宋_GBK" w:hAnsi="方正仿宋_GBK" w:eastAsia="方正仿宋_GBK" w:cs="方正仿宋_GBK"/>
          <w:color w:val="auto"/>
          <w:sz w:val="32"/>
          <w:szCs w:val="32"/>
          <w:lang w:val="en-US" w:eastAsia="zh-CN"/>
        </w:rPr>
        <w:t>理</w:t>
      </w:r>
      <w:r>
        <w:rPr>
          <w:rFonts w:hint="eastAsia" w:ascii="方正仿宋_GBK" w:hAnsi="方正仿宋_GBK" w:eastAsia="方正仿宋_GBK" w:cs="方正仿宋_GBK"/>
          <w:color w:val="auto"/>
          <w:sz w:val="32"/>
          <w:szCs w:val="32"/>
        </w:rPr>
        <w:t>部门</w:t>
      </w:r>
      <w:r>
        <w:rPr>
          <w:rFonts w:hint="eastAsia" w:ascii="方正仿宋_GBK" w:hAnsi="方正仿宋_GBK" w:eastAsia="方正仿宋_GBK" w:cs="方正仿宋_GBK"/>
          <w:color w:val="auto"/>
          <w:sz w:val="32"/>
          <w:szCs w:val="32"/>
          <w:lang w:eastAsia="zh-CN"/>
        </w:rPr>
        <w:t>依法</w:t>
      </w:r>
      <w:r>
        <w:rPr>
          <w:rFonts w:hint="eastAsia" w:ascii="方正仿宋_GBK" w:hAnsi="方正仿宋_GBK" w:eastAsia="方正仿宋_GBK" w:cs="方正仿宋_GBK"/>
          <w:color w:val="auto"/>
          <w:sz w:val="32"/>
          <w:szCs w:val="32"/>
        </w:rPr>
        <w:t>约见行政相对人的法定代表人、</w:t>
      </w:r>
      <w:r>
        <w:rPr>
          <w:rFonts w:hint="eastAsia" w:ascii="方正仿宋_GBK" w:hAnsi="方正仿宋_GBK" w:eastAsia="方正仿宋_GBK" w:cs="方正仿宋_GBK"/>
          <w:color w:val="auto"/>
          <w:sz w:val="32"/>
          <w:szCs w:val="32"/>
          <w:lang w:val="en-US" w:eastAsia="zh-CN"/>
        </w:rPr>
        <w:t>主要</w:t>
      </w:r>
      <w:r>
        <w:rPr>
          <w:rFonts w:hint="eastAsia" w:ascii="方正仿宋_GBK" w:hAnsi="方正仿宋_GBK" w:eastAsia="方正仿宋_GBK" w:cs="方正仿宋_GBK"/>
          <w:color w:val="auto"/>
          <w:sz w:val="32"/>
          <w:szCs w:val="32"/>
        </w:rPr>
        <w:t>负责人</w:t>
      </w:r>
      <w:r>
        <w:rPr>
          <w:rFonts w:hint="eastAsia" w:ascii="方正仿宋_GBK" w:hAnsi="方正仿宋_GBK" w:eastAsia="方正仿宋_GBK" w:cs="方正仿宋_GBK"/>
          <w:color w:val="auto"/>
          <w:sz w:val="32"/>
          <w:szCs w:val="32"/>
          <w:lang w:val="en-US" w:eastAsia="zh-CN"/>
        </w:rPr>
        <w:t>或者其他负责人员（以下统称被约谈人）</w:t>
      </w:r>
      <w:r>
        <w:rPr>
          <w:rFonts w:hint="eastAsia" w:ascii="方正仿宋_GBK" w:hAnsi="方正仿宋_GBK" w:eastAsia="方正仿宋_GBK" w:cs="方正仿宋_GBK"/>
          <w:color w:val="auto"/>
          <w:sz w:val="32"/>
          <w:szCs w:val="32"/>
        </w:rPr>
        <w:t>，指出问题、</w:t>
      </w:r>
      <w:r>
        <w:rPr>
          <w:rFonts w:hint="eastAsia" w:ascii="方正仿宋_GBK" w:hAnsi="方正仿宋_GBK" w:eastAsia="方正仿宋_GBK" w:cs="方正仿宋_GBK"/>
          <w:color w:val="auto"/>
          <w:sz w:val="32"/>
          <w:szCs w:val="32"/>
          <w:lang w:eastAsia="zh-CN"/>
        </w:rPr>
        <w:t>明确</w:t>
      </w:r>
      <w:r>
        <w:rPr>
          <w:rFonts w:hint="eastAsia" w:ascii="方正仿宋_GBK" w:hAnsi="方正仿宋_GBK" w:eastAsia="方正仿宋_GBK" w:cs="方正仿宋_GBK"/>
          <w:color w:val="auto"/>
          <w:sz w:val="32"/>
          <w:szCs w:val="32"/>
        </w:rPr>
        <w:t>要求</w:t>
      </w:r>
      <w:r>
        <w:rPr>
          <w:rFonts w:hint="eastAsia" w:ascii="方正仿宋_GBK" w:hAnsi="方正仿宋_GBK" w:eastAsia="方正仿宋_GBK" w:cs="方正仿宋_GBK"/>
          <w:color w:val="auto"/>
          <w:sz w:val="32"/>
          <w:szCs w:val="32"/>
          <w:lang w:eastAsia="zh-CN"/>
        </w:rPr>
        <w:t>、</w:t>
      </w:r>
      <w:r>
        <w:rPr>
          <w:rFonts w:hint="eastAsia" w:ascii="方正仿宋_GBK" w:hAnsi="方正仿宋_GBK" w:eastAsia="方正仿宋_GBK" w:cs="方正仿宋_GBK"/>
          <w:color w:val="auto"/>
          <w:sz w:val="32"/>
          <w:szCs w:val="32"/>
        </w:rPr>
        <w:t>督促整改的监督管理措施。</w:t>
      </w:r>
    </w:p>
    <w:p>
      <w:pPr>
        <w:keepNext w:val="0"/>
        <w:keepLines w:val="0"/>
        <w:pageBreakBefore w:val="0"/>
        <w:widowControl w:val="0"/>
        <w:kinsoku/>
        <w:wordWrap/>
        <w:overflowPunct/>
        <w:topLinePunct w:val="0"/>
        <w:autoSpaceDE/>
        <w:autoSpaceDN/>
        <w:bidi w:val="0"/>
        <w:adjustRightInd w:val="0"/>
        <w:snapToGrid w:val="0"/>
        <w:spacing w:line="590" w:lineRule="atLeast"/>
        <w:ind w:left="0" w:leftChars="0" w:firstLine="640" w:firstLineChars="200"/>
        <w:textAlignment w:val="auto"/>
        <w:rPr>
          <w:rFonts w:hint="eastAsia" w:ascii="方正仿宋_GBK" w:hAnsi="方正仿宋_GBK" w:eastAsia="方正仿宋_GBK" w:cs="方正仿宋_GBK"/>
          <w:color w:val="auto"/>
          <w:sz w:val="32"/>
          <w:szCs w:val="32"/>
          <w:lang w:eastAsia="zh-CN"/>
        </w:rPr>
      </w:pPr>
      <w:r>
        <w:rPr>
          <w:rFonts w:hint="eastAsia" w:ascii="Times New Roman" w:hAnsi="Times New Roman" w:eastAsia="方正楷体_GBK" w:cs="Times New Roman"/>
          <w:color w:val="auto"/>
          <w:sz w:val="32"/>
          <w:szCs w:val="32"/>
        </w:rPr>
        <w:t>（</w:t>
      </w:r>
      <w:r>
        <w:rPr>
          <w:rFonts w:hint="eastAsia" w:ascii="Times New Roman" w:hAnsi="Times New Roman" w:eastAsia="方正楷体_GBK" w:cs="Times New Roman"/>
          <w:color w:val="auto"/>
          <w:sz w:val="32"/>
          <w:szCs w:val="32"/>
          <w:lang w:val="en-US" w:eastAsia="zh-CN"/>
        </w:rPr>
        <w:t>三</w:t>
      </w:r>
      <w:r>
        <w:rPr>
          <w:rFonts w:hint="eastAsia" w:ascii="Times New Roman" w:hAnsi="Times New Roman" w:eastAsia="方正楷体_GBK" w:cs="Times New Roman"/>
          <w:color w:val="auto"/>
          <w:sz w:val="32"/>
          <w:szCs w:val="32"/>
        </w:rPr>
        <w:t>）明确约谈</w:t>
      </w:r>
      <w:r>
        <w:rPr>
          <w:rFonts w:hint="eastAsia" w:ascii="Times New Roman" w:hAnsi="Times New Roman" w:eastAsia="方正楷体_GBK" w:cs="Times New Roman"/>
          <w:color w:val="auto"/>
          <w:sz w:val="32"/>
          <w:szCs w:val="32"/>
          <w:lang w:val="en-US" w:eastAsia="zh-CN"/>
        </w:rPr>
        <w:t>实施原则和</w:t>
      </w:r>
      <w:r>
        <w:rPr>
          <w:rFonts w:hint="eastAsia" w:ascii="Times New Roman" w:hAnsi="Times New Roman" w:eastAsia="方正楷体_GBK" w:cs="Times New Roman"/>
          <w:color w:val="auto"/>
          <w:sz w:val="32"/>
          <w:szCs w:val="32"/>
        </w:rPr>
        <w:t>启动要求。</w:t>
      </w:r>
      <w:r>
        <w:rPr>
          <w:rFonts w:hint="eastAsia" w:ascii="Times New Roman" w:hAnsi="Times New Roman" w:eastAsia="方正仿宋_GBK" w:cs="Times New Roman"/>
          <w:color w:val="auto"/>
          <w:sz w:val="32"/>
          <w:szCs w:val="32"/>
          <w:lang w:val="en-US" w:eastAsia="zh-CN"/>
        </w:rPr>
        <w:t>征求意见稿</w:t>
      </w:r>
      <w:r>
        <w:rPr>
          <w:rFonts w:hint="eastAsia" w:ascii="Times New Roman" w:hAnsi="Times New Roman" w:eastAsia="方正仿宋_GBK" w:cs="Times New Roman"/>
          <w:color w:val="auto"/>
          <w:sz w:val="32"/>
          <w:szCs w:val="32"/>
        </w:rPr>
        <w:t>在第</w:t>
      </w:r>
      <w:r>
        <w:rPr>
          <w:rFonts w:hint="eastAsia" w:ascii="Times New Roman" w:hAnsi="Times New Roman" w:eastAsia="方正仿宋_GBK" w:cs="Times New Roman"/>
          <w:color w:val="auto"/>
          <w:sz w:val="32"/>
          <w:szCs w:val="32"/>
          <w:lang w:val="en-US" w:eastAsia="zh-CN"/>
        </w:rPr>
        <w:t>四</w:t>
      </w:r>
      <w:r>
        <w:rPr>
          <w:rFonts w:hint="eastAsia" w:ascii="Times New Roman" w:hAnsi="Times New Roman" w:eastAsia="方正仿宋_GBK" w:cs="Times New Roman"/>
          <w:color w:val="auto"/>
          <w:sz w:val="32"/>
          <w:szCs w:val="32"/>
        </w:rPr>
        <w:t>条中</w:t>
      </w:r>
      <w:r>
        <w:rPr>
          <w:rFonts w:hint="eastAsia" w:ascii="Times New Roman" w:hAnsi="Times New Roman" w:eastAsia="方正仿宋_GBK" w:cs="Times New Roman"/>
          <w:color w:val="auto"/>
          <w:sz w:val="32"/>
          <w:szCs w:val="32"/>
          <w:lang w:val="en-US" w:eastAsia="zh-CN"/>
        </w:rPr>
        <w:t>拟定，</w:t>
      </w:r>
      <w:r>
        <w:rPr>
          <w:rFonts w:hint="eastAsia" w:ascii="方正仿宋_GBK" w:hAnsi="方正仿宋_GBK" w:eastAsia="方正仿宋_GBK" w:cs="方正仿宋_GBK"/>
          <w:color w:val="auto"/>
          <w:sz w:val="32"/>
          <w:szCs w:val="32"/>
          <w:lang w:val="en-US" w:eastAsia="zh-CN"/>
        </w:rPr>
        <w:t>责任</w:t>
      </w:r>
      <w:r>
        <w:rPr>
          <w:rFonts w:hint="eastAsia" w:ascii="方正仿宋_GBK" w:hAnsi="方正仿宋_GBK" w:eastAsia="方正仿宋_GBK" w:cs="方正仿宋_GBK"/>
          <w:color w:val="auto"/>
          <w:sz w:val="32"/>
          <w:szCs w:val="32"/>
        </w:rPr>
        <w:t>约谈工作按照属地管理原则，由药品监</w:t>
      </w:r>
      <w:r>
        <w:rPr>
          <w:rFonts w:hint="eastAsia" w:ascii="方正仿宋_GBK" w:hAnsi="方正仿宋_GBK" w:eastAsia="方正仿宋_GBK" w:cs="方正仿宋_GBK"/>
          <w:color w:val="auto"/>
          <w:sz w:val="32"/>
          <w:szCs w:val="32"/>
          <w:lang w:eastAsia="zh-CN"/>
        </w:rPr>
        <w:t>督</w:t>
      </w:r>
      <w:r>
        <w:rPr>
          <w:rFonts w:hint="eastAsia" w:ascii="方正仿宋_GBK" w:hAnsi="方正仿宋_GBK" w:eastAsia="方正仿宋_GBK" w:cs="方正仿宋_GBK"/>
          <w:color w:val="auto"/>
          <w:sz w:val="32"/>
          <w:szCs w:val="32"/>
        </w:rPr>
        <w:t>管</w:t>
      </w:r>
      <w:r>
        <w:rPr>
          <w:rFonts w:hint="eastAsia" w:ascii="方正仿宋_GBK" w:hAnsi="方正仿宋_GBK" w:eastAsia="方正仿宋_GBK" w:cs="方正仿宋_GBK"/>
          <w:color w:val="auto"/>
          <w:sz w:val="32"/>
          <w:szCs w:val="32"/>
          <w:lang w:eastAsia="zh-CN"/>
        </w:rPr>
        <w:t>理</w:t>
      </w:r>
      <w:r>
        <w:rPr>
          <w:rFonts w:hint="eastAsia" w:ascii="方正仿宋_GBK" w:hAnsi="方正仿宋_GBK" w:eastAsia="方正仿宋_GBK" w:cs="方正仿宋_GBK"/>
          <w:color w:val="auto"/>
          <w:sz w:val="32"/>
          <w:szCs w:val="32"/>
        </w:rPr>
        <w:t>部门按照职责分工负责实施。上级药品监</w:t>
      </w:r>
      <w:r>
        <w:rPr>
          <w:rFonts w:hint="eastAsia" w:ascii="方正仿宋_GBK" w:hAnsi="方正仿宋_GBK" w:eastAsia="方正仿宋_GBK" w:cs="方正仿宋_GBK"/>
          <w:color w:val="auto"/>
          <w:sz w:val="32"/>
          <w:szCs w:val="32"/>
          <w:lang w:val="en-US" w:eastAsia="zh-CN"/>
        </w:rPr>
        <w:t>督</w:t>
      </w:r>
      <w:r>
        <w:rPr>
          <w:rFonts w:hint="eastAsia" w:ascii="方正仿宋_GBK" w:hAnsi="方正仿宋_GBK" w:eastAsia="方正仿宋_GBK" w:cs="方正仿宋_GBK"/>
          <w:color w:val="auto"/>
          <w:sz w:val="32"/>
          <w:szCs w:val="32"/>
        </w:rPr>
        <w:t>管</w:t>
      </w:r>
      <w:r>
        <w:rPr>
          <w:rFonts w:hint="eastAsia" w:ascii="方正仿宋_GBK" w:hAnsi="方正仿宋_GBK" w:eastAsia="方正仿宋_GBK" w:cs="方正仿宋_GBK"/>
          <w:color w:val="auto"/>
          <w:sz w:val="32"/>
          <w:szCs w:val="32"/>
          <w:lang w:val="en-US" w:eastAsia="zh-CN"/>
        </w:rPr>
        <w:t>理</w:t>
      </w:r>
      <w:r>
        <w:rPr>
          <w:rFonts w:hint="eastAsia" w:ascii="方正仿宋_GBK" w:hAnsi="方正仿宋_GBK" w:eastAsia="方正仿宋_GBK" w:cs="方正仿宋_GBK"/>
          <w:color w:val="auto"/>
          <w:sz w:val="32"/>
          <w:szCs w:val="32"/>
        </w:rPr>
        <w:t>部门</w:t>
      </w:r>
      <w:r>
        <w:rPr>
          <w:rFonts w:hint="eastAsia" w:ascii="方正仿宋_GBK" w:hAnsi="方正仿宋_GBK" w:eastAsia="方正仿宋_GBK" w:cs="方正仿宋_GBK"/>
          <w:color w:val="auto"/>
          <w:sz w:val="32"/>
          <w:szCs w:val="32"/>
          <w:lang w:val="en-US" w:eastAsia="zh-CN"/>
        </w:rPr>
        <w:t>根据需要</w:t>
      </w:r>
      <w:r>
        <w:rPr>
          <w:rFonts w:hint="eastAsia" w:ascii="方正仿宋_GBK" w:hAnsi="方正仿宋_GBK" w:eastAsia="方正仿宋_GBK" w:cs="方正仿宋_GBK"/>
          <w:color w:val="auto"/>
          <w:sz w:val="32"/>
          <w:szCs w:val="32"/>
        </w:rPr>
        <w:t>可以委托下级药品监</w:t>
      </w:r>
      <w:r>
        <w:rPr>
          <w:rFonts w:hint="eastAsia" w:ascii="方正仿宋_GBK" w:hAnsi="方正仿宋_GBK" w:eastAsia="方正仿宋_GBK" w:cs="方正仿宋_GBK"/>
          <w:color w:val="auto"/>
          <w:sz w:val="32"/>
          <w:szCs w:val="32"/>
          <w:lang w:val="en-US" w:eastAsia="zh-CN"/>
        </w:rPr>
        <w:t>督</w:t>
      </w:r>
      <w:r>
        <w:rPr>
          <w:rFonts w:hint="eastAsia" w:ascii="方正仿宋_GBK" w:hAnsi="方正仿宋_GBK" w:eastAsia="方正仿宋_GBK" w:cs="方正仿宋_GBK"/>
          <w:color w:val="auto"/>
          <w:sz w:val="32"/>
          <w:szCs w:val="32"/>
        </w:rPr>
        <w:t>管</w:t>
      </w:r>
      <w:r>
        <w:rPr>
          <w:rFonts w:hint="eastAsia" w:ascii="方正仿宋_GBK" w:hAnsi="方正仿宋_GBK" w:eastAsia="方正仿宋_GBK" w:cs="方正仿宋_GBK"/>
          <w:color w:val="auto"/>
          <w:sz w:val="32"/>
          <w:szCs w:val="32"/>
          <w:lang w:val="en-US" w:eastAsia="zh-CN"/>
        </w:rPr>
        <w:t>理</w:t>
      </w:r>
      <w:r>
        <w:rPr>
          <w:rFonts w:hint="eastAsia" w:ascii="方正仿宋_GBK" w:hAnsi="方正仿宋_GBK" w:eastAsia="方正仿宋_GBK" w:cs="方正仿宋_GBK"/>
          <w:color w:val="auto"/>
          <w:sz w:val="32"/>
          <w:szCs w:val="32"/>
        </w:rPr>
        <w:t>部门</w:t>
      </w:r>
      <w:r>
        <w:rPr>
          <w:rFonts w:hint="eastAsia" w:ascii="方正仿宋_GBK" w:hAnsi="方正仿宋_GBK" w:eastAsia="方正仿宋_GBK" w:cs="方正仿宋_GBK"/>
          <w:color w:val="auto"/>
          <w:sz w:val="32"/>
          <w:szCs w:val="32"/>
          <w:lang w:eastAsia="zh-CN"/>
        </w:rPr>
        <w:t>实施</w:t>
      </w:r>
      <w:r>
        <w:rPr>
          <w:rFonts w:hint="eastAsia" w:ascii="方正仿宋_GBK" w:hAnsi="方正仿宋_GBK" w:eastAsia="方正仿宋_GBK" w:cs="方正仿宋_GBK"/>
          <w:color w:val="auto"/>
          <w:sz w:val="32"/>
          <w:szCs w:val="32"/>
        </w:rPr>
        <w:t>约谈。</w:t>
      </w:r>
      <w:r>
        <w:rPr>
          <w:rFonts w:hint="eastAsia" w:ascii="方正仿宋_GBK" w:hAnsi="方正仿宋_GBK" w:eastAsia="方正仿宋_GBK" w:cs="方正仿宋_GBK"/>
          <w:color w:val="auto"/>
          <w:sz w:val="32"/>
          <w:szCs w:val="32"/>
          <w:lang w:eastAsia="zh-CN"/>
        </w:rPr>
        <w:t>省药品监督管理局（以下简称省局）实施责任约谈，由省局约谈事由的职能处室会同相关处室提出约谈申请，并附约谈方案，经省局分管负责人或者主要负责人同意后实施。省局检查分局认为需要实施责任约谈的，经省局联系负责人同意后以省局名义实施，约谈前应当告知省局相应职能处室。市、县级药品监督管理部门应当确定实施责任约谈的决定程序。</w:t>
      </w:r>
    </w:p>
    <w:p>
      <w:pPr>
        <w:keepNext w:val="0"/>
        <w:keepLines w:val="0"/>
        <w:pageBreakBefore w:val="0"/>
        <w:widowControl w:val="0"/>
        <w:kinsoku/>
        <w:wordWrap/>
        <w:overflowPunct/>
        <w:topLinePunct w:val="0"/>
        <w:autoSpaceDE/>
        <w:autoSpaceDN/>
        <w:bidi w:val="0"/>
        <w:adjustRightInd w:val="0"/>
        <w:snapToGrid w:val="0"/>
        <w:spacing w:line="590" w:lineRule="atLeast"/>
        <w:ind w:firstLine="640" w:firstLineChars="200"/>
        <w:textAlignment w:val="auto"/>
        <w:rPr>
          <w:rFonts w:hint="default" w:ascii="Times New Roman" w:hAnsi="Times New Roman" w:eastAsia="方正仿宋_GBK" w:cs="Times New Roman"/>
          <w:color w:val="auto"/>
          <w:sz w:val="32"/>
          <w:szCs w:val="32"/>
          <w:lang w:val="en-US" w:eastAsia="zh-CN"/>
        </w:rPr>
      </w:pPr>
      <w:r>
        <w:rPr>
          <w:rFonts w:hint="eastAsia" w:ascii="Times New Roman" w:hAnsi="Times New Roman" w:eastAsia="方正楷体_GBK" w:cs="Times New Roman"/>
          <w:color w:val="auto"/>
          <w:sz w:val="32"/>
          <w:szCs w:val="32"/>
        </w:rPr>
        <w:t>（</w:t>
      </w:r>
      <w:r>
        <w:rPr>
          <w:rFonts w:hint="eastAsia" w:ascii="Times New Roman" w:hAnsi="Times New Roman" w:eastAsia="方正楷体_GBK" w:cs="Times New Roman"/>
          <w:color w:val="auto"/>
          <w:sz w:val="32"/>
          <w:szCs w:val="32"/>
          <w:lang w:val="en-US" w:eastAsia="zh-CN"/>
        </w:rPr>
        <w:t>四</w:t>
      </w:r>
      <w:r>
        <w:rPr>
          <w:rFonts w:hint="eastAsia" w:ascii="Times New Roman" w:hAnsi="Times New Roman" w:eastAsia="方正楷体_GBK" w:cs="Times New Roman"/>
          <w:color w:val="auto"/>
          <w:sz w:val="32"/>
          <w:szCs w:val="32"/>
        </w:rPr>
        <w:t>）明确</w:t>
      </w:r>
      <w:r>
        <w:rPr>
          <w:rFonts w:hint="eastAsia" w:ascii="Times New Roman" w:hAnsi="Times New Roman" w:eastAsia="方正楷体_GBK" w:cs="Times New Roman"/>
          <w:color w:val="auto"/>
          <w:sz w:val="32"/>
          <w:szCs w:val="32"/>
          <w:lang w:val="en-US" w:eastAsia="zh-CN"/>
        </w:rPr>
        <w:t>责任</w:t>
      </w:r>
      <w:r>
        <w:rPr>
          <w:rFonts w:hint="eastAsia" w:ascii="Times New Roman" w:hAnsi="Times New Roman" w:eastAsia="方正楷体_GBK" w:cs="Times New Roman"/>
          <w:color w:val="auto"/>
          <w:sz w:val="32"/>
          <w:szCs w:val="32"/>
        </w:rPr>
        <w:t>约谈的情形</w:t>
      </w:r>
      <w:r>
        <w:rPr>
          <w:rFonts w:hint="eastAsia" w:ascii="Times New Roman" w:hAnsi="Times New Roman" w:eastAsia="方正楷体_GBK" w:cs="Times New Roman"/>
          <w:color w:val="auto"/>
          <w:sz w:val="32"/>
          <w:szCs w:val="32"/>
          <w:lang w:val="en-US" w:eastAsia="zh-CN"/>
        </w:rPr>
        <w:t>和内容</w:t>
      </w:r>
      <w:r>
        <w:rPr>
          <w:rFonts w:hint="eastAsia" w:ascii="Times New Roman" w:hAnsi="Times New Roman" w:eastAsia="方正楷体_GBK" w:cs="Times New Roman"/>
          <w:color w:val="auto"/>
          <w:sz w:val="32"/>
          <w:szCs w:val="32"/>
        </w:rPr>
        <w:t>。</w:t>
      </w:r>
      <w:r>
        <w:rPr>
          <w:rFonts w:hint="eastAsia" w:ascii="Times New Roman" w:hAnsi="Times New Roman" w:eastAsia="方正仿宋_GBK" w:cs="Times New Roman"/>
          <w:color w:val="auto"/>
          <w:sz w:val="32"/>
          <w:szCs w:val="32"/>
          <w:lang w:val="en-US" w:eastAsia="zh-CN"/>
        </w:rPr>
        <w:t>征求意见稿</w:t>
      </w:r>
      <w:r>
        <w:rPr>
          <w:rFonts w:hint="eastAsia" w:ascii="Times New Roman" w:hAnsi="Times New Roman" w:eastAsia="方正仿宋_GBK" w:cs="Times New Roman"/>
          <w:color w:val="auto"/>
          <w:sz w:val="32"/>
          <w:szCs w:val="32"/>
        </w:rPr>
        <w:t>在第五条中</w:t>
      </w:r>
      <w:r>
        <w:rPr>
          <w:rFonts w:hint="eastAsia" w:ascii="Times New Roman" w:hAnsi="Times New Roman" w:eastAsia="方正仿宋_GBK" w:cs="Times New Roman"/>
          <w:color w:val="auto"/>
          <w:sz w:val="32"/>
          <w:szCs w:val="32"/>
          <w:lang w:val="en-US" w:eastAsia="zh-CN"/>
        </w:rPr>
        <w:t>拟定</w:t>
      </w:r>
      <w:r>
        <w:rPr>
          <w:rFonts w:hint="eastAsia" w:ascii="Times New Roman" w:hAnsi="Times New Roman" w:eastAsia="方正仿宋_GBK" w:cs="Times New Roman"/>
          <w:color w:val="auto"/>
          <w:sz w:val="32"/>
          <w:szCs w:val="32"/>
          <w:lang w:eastAsia="zh-CN"/>
        </w:rPr>
        <w:t>了</w:t>
      </w:r>
      <w:r>
        <w:rPr>
          <w:rFonts w:hint="eastAsia" w:ascii="Times New Roman" w:hAnsi="Times New Roman" w:eastAsia="方正仿宋_GBK" w:cs="Times New Roman"/>
          <w:color w:val="auto"/>
          <w:sz w:val="32"/>
          <w:szCs w:val="32"/>
          <w:lang w:val="en-US" w:eastAsia="zh-CN"/>
        </w:rPr>
        <w:t>可以实施责任约谈的情形，在第六条中拟定了责任约谈的主要内容。</w:t>
      </w:r>
    </w:p>
    <w:p>
      <w:pPr>
        <w:keepNext w:val="0"/>
        <w:keepLines w:val="0"/>
        <w:pageBreakBefore w:val="0"/>
        <w:widowControl w:val="0"/>
        <w:kinsoku/>
        <w:wordWrap/>
        <w:overflowPunct/>
        <w:topLinePunct w:val="0"/>
        <w:autoSpaceDE/>
        <w:autoSpaceDN/>
        <w:bidi w:val="0"/>
        <w:adjustRightInd w:val="0"/>
        <w:snapToGrid w:val="0"/>
        <w:spacing w:line="590" w:lineRule="atLeast"/>
        <w:ind w:firstLine="640" w:firstLineChars="200"/>
        <w:textAlignment w:val="auto"/>
        <w:rPr>
          <w:rFonts w:hint="default" w:ascii="Times New Roman" w:hAnsi="Times New Roman" w:eastAsia="方正仿宋_GBK" w:cs="Times New Roman"/>
          <w:color w:val="auto"/>
          <w:sz w:val="32"/>
          <w:szCs w:val="32"/>
          <w:lang w:val="en-US" w:eastAsia="zh-CN"/>
        </w:rPr>
      </w:pPr>
      <w:r>
        <w:rPr>
          <w:rFonts w:hint="eastAsia" w:ascii="Times New Roman" w:hAnsi="Times New Roman" w:eastAsia="方正楷体_GBK" w:cs="Times New Roman"/>
          <w:color w:val="auto"/>
          <w:sz w:val="32"/>
          <w:szCs w:val="32"/>
        </w:rPr>
        <w:t>（</w:t>
      </w:r>
      <w:r>
        <w:rPr>
          <w:rFonts w:hint="eastAsia" w:ascii="Times New Roman" w:hAnsi="Times New Roman" w:eastAsia="方正楷体_GBK" w:cs="Times New Roman"/>
          <w:color w:val="auto"/>
          <w:sz w:val="32"/>
          <w:szCs w:val="32"/>
          <w:lang w:val="en-US" w:eastAsia="zh-CN"/>
        </w:rPr>
        <w:t>五</w:t>
      </w:r>
      <w:r>
        <w:rPr>
          <w:rFonts w:hint="eastAsia" w:ascii="Times New Roman" w:hAnsi="Times New Roman" w:eastAsia="方正楷体_GBK" w:cs="Times New Roman"/>
          <w:color w:val="auto"/>
          <w:sz w:val="32"/>
          <w:szCs w:val="32"/>
        </w:rPr>
        <w:t>）明确约谈形式和程序。</w:t>
      </w:r>
      <w:r>
        <w:rPr>
          <w:rFonts w:hint="eastAsia" w:ascii="Times New Roman" w:hAnsi="Times New Roman" w:eastAsia="方正仿宋_GBK" w:cs="Times New Roman"/>
          <w:color w:val="auto"/>
          <w:sz w:val="32"/>
          <w:szCs w:val="32"/>
          <w:lang w:val="en-US" w:eastAsia="zh-CN"/>
        </w:rPr>
        <w:t>征求意见稿</w:t>
      </w:r>
      <w:r>
        <w:rPr>
          <w:rFonts w:hint="eastAsia" w:ascii="Times New Roman" w:hAnsi="Times New Roman" w:eastAsia="方正仿宋_GBK" w:cs="Times New Roman"/>
          <w:color w:val="auto"/>
          <w:sz w:val="32"/>
          <w:szCs w:val="32"/>
        </w:rPr>
        <w:t>在第</w:t>
      </w:r>
      <w:r>
        <w:rPr>
          <w:rFonts w:hint="eastAsia" w:ascii="Times New Roman" w:hAnsi="Times New Roman" w:eastAsia="方正仿宋_GBK" w:cs="Times New Roman"/>
          <w:color w:val="auto"/>
          <w:sz w:val="32"/>
          <w:szCs w:val="32"/>
          <w:lang w:val="en-US" w:eastAsia="zh-CN"/>
        </w:rPr>
        <w:t>七</w:t>
      </w:r>
      <w:r>
        <w:rPr>
          <w:rFonts w:hint="eastAsia" w:ascii="Times New Roman" w:hAnsi="Times New Roman" w:eastAsia="方正仿宋_GBK" w:cs="Times New Roman"/>
          <w:color w:val="auto"/>
          <w:sz w:val="32"/>
          <w:szCs w:val="32"/>
        </w:rPr>
        <w:t>条至第十</w:t>
      </w:r>
      <w:r>
        <w:rPr>
          <w:rFonts w:hint="eastAsia" w:ascii="Times New Roman" w:hAnsi="Times New Roman" w:eastAsia="方正仿宋_GBK" w:cs="Times New Roman"/>
          <w:color w:val="auto"/>
          <w:sz w:val="32"/>
          <w:szCs w:val="32"/>
          <w:lang w:val="en-US" w:eastAsia="zh-CN"/>
        </w:rPr>
        <w:t>三</w:t>
      </w:r>
      <w:r>
        <w:rPr>
          <w:rFonts w:hint="eastAsia" w:ascii="Times New Roman" w:hAnsi="Times New Roman" w:eastAsia="方正仿宋_GBK" w:cs="Times New Roman"/>
          <w:color w:val="auto"/>
          <w:sz w:val="32"/>
          <w:szCs w:val="32"/>
        </w:rPr>
        <w:t>条中分别</w:t>
      </w:r>
      <w:r>
        <w:rPr>
          <w:rFonts w:hint="eastAsia" w:ascii="Times New Roman" w:hAnsi="Times New Roman" w:eastAsia="方正仿宋_GBK" w:cs="Times New Roman"/>
          <w:color w:val="auto"/>
          <w:sz w:val="32"/>
          <w:szCs w:val="32"/>
          <w:lang w:val="en-US" w:eastAsia="zh-CN"/>
        </w:rPr>
        <w:t>拟定</w:t>
      </w:r>
      <w:r>
        <w:rPr>
          <w:rFonts w:hint="eastAsia" w:ascii="Times New Roman" w:hAnsi="Times New Roman" w:eastAsia="方正仿宋_GBK" w:cs="Times New Roman"/>
          <w:color w:val="auto"/>
          <w:sz w:val="32"/>
          <w:szCs w:val="32"/>
        </w:rPr>
        <w:t>了责任约谈形式</w:t>
      </w:r>
      <w:r>
        <w:rPr>
          <w:rFonts w:hint="eastAsia" w:ascii="Times New Roman" w:hAnsi="Times New Roman" w:eastAsia="方正仿宋_GBK" w:cs="Times New Roman"/>
          <w:color w:val="auto"/>
          <w:sz w:val="32"/>
          <w:szCs w:val="32"/>
          <w:lang w:eastAsia="zh-CN"/>
        </w:rPr>
        <w:t>（</w:t>
      </w:r>
      <w:r>
        <w:rPr>
          <w:rFonts w:hint="eastAsia" w:ascii="Times New Roman" w:hAnsi="Times New Roman" w:eastAsia="方正仿宋_GBK" w:cs="Times New Roman"/>
          <w:color w:val="auto"/>
          <w:sz w:val="32"/>
          <w:szCs w:val="32"/>
        </w:rPr>
        <w:t>会议形式、视频方式、集体约谈</w:t>
      </w:r>
      <w:r>
        <w:rPr>
          <w:rFonts w:hint="eastAsia" w:ascii="Times New Roman" w:hAnsi="Times New Roman" w:eastAsia="方正仿宋_GBK" w:cs="Times New Roman"/>
          <w:color w:val="auto"/>
          <w:sz w:val="32"/>
          <w:szCs w:val="32"/>
          <w:lang w:eastAsia="zh-CN"/>
        </w:rPr>
        <w:t>）</w:t>
      </w:r>
      <w:r>
        <w:rPr>
          <w:rFonts w:hint="eastAsia" w:ascii="Times New Roman" w:hAnsi="Times New Roman" w:eastAsia="方正仿宋_GBK" w:cs="Times New Roman"/>
          <w:color w:val="auto"/>
          <w:sz w:val="32"/>
          <w:szCs w:val="32"/>
        </w:rPr>
        <w:t>、约谈通知及被约谈人所在单位提供材料要求、</w:t>
      </w:r>
      <w:r>
        <w:rPr>
          <w:rFonts w:hint="eastAsia" w:ascii="Times New Roman" w:hAnsi="Times New Roman" w:eastAsia="方正仿宋_GBK" w:cs="Times New Roman"/>
          <w:color w:val="auto"/>
          <w:sz w:val="32"/>
          <w:szCs w:val="32"/>
          <w:lang w:val="en-US" w:eastAsia="zh-CN"/>
        </w:rPr>
        <w:t>调整约谈时间要求、约谈人员要求、</w:t>
      </w:r>
      <w:r>
        <w:rPr>
          <w:rFonts w:hint="eastAsia" w:ascii="Times New Roman" w:hAnsi="Times New Roman" w:eastAsia="方正仿宋_GBK" w:cs="Times New Roman"/>
          <w:color w:val="auto"/>
          <w:sz w:val="32"/>
          <w:szCs w:val="32"/>
        </w:rPr>
        <w:t>被约谈人参加要求、</w:t>
      </w:r>
      <w:r>
        <w:rPr>
          <w:rFonts w:hint="eastAsia" w:ascii="Times New Roman" w:hAnsi="Times New Roman" w:eastAsia="方正仿宋_GBK" w:cs="Times New Roman"/>
          <w:color w:val="auto"/>
          <w:sz w:val="32"/>
          <w:szCs w:val="32"/>
          <w:lang w:val="en-US" w:eastAsia="zh-CN"/>
        </w:rPr>
        <w:t>约谈前准备、</w:t>
      </w:r>
      <w:r>
        <w:rPr>
          <w:rFonts w:hint="eastAsia" w:ascii="Times New Roman" w:hAnsi="Times New Roman" w:eastAsia="方正仿宋_GBK" w:cs="Times New Roman"/>
          <w:color w:val="auto"/>
          <w:sz w:val="32"/>
          <w:szCs w:val="32"/>
        </w:rPr>
        <w:t>约谈主持人的担任、约谈流程、约谈书面记录</w:t>
      </w:r>
      <w:r>
        <w:rPr>
          <w:rFonts w:hint="eastAsia" w:ascii="Times New Roman" w:hAnsi="Times New Roman" w:eastAsia="方正仿宋_GBK" w:cs="Times New Roman"/>
          <w:color w:val="auto"/>
          <w:sz w:val="32"/>
          <w:szCs w:val="32"/>
          <w:lang w:val="en-US" w:eastAsia="zh-CN"/>
        </w:rPr>
        <w:t>等要求。</w:t>
      </w:r>
    </w:p>
    <w:p>
      <w:pPr>
        <w:keepNext w:val="0"/>
        <w:keepLines w:val="0"/>
        <w:pageBreakBefore w:val="0"/>
        <w:widowControl w:val="0"/>
        <w:kinsoku/>
        <w:wordWrap/>
        <w:overflowPunct/>
        <w:topLinePunct w:val="0"/>
        <w:autoSpaceDE/>
        <w:autoSpaceDN/>
        <w:bidi w:val="0"/>
        <w:adjustRightInd w:val="0"/>
        <w:snapToGrid w:val="0"/>
        <w:spacing w:line="590" w:lineRule="atLeast"/>
        <w:ind w:left="0" w:leftChars="0" w:firstLine="640" w:firstLineChars="200"/>
        <w:textAlignment w:val="auto"/>
        <w:rPr>
          <w:rFonts w:hint="eastAsia" w:ascii="方正仿宋_GBK" w:hAnsi="方正仿宋_GBK" w:eastAsia="方正仿宋_GBK" w:cs="方正仿宋_GBK"/>
          <w:color w:val="auto"/>
          <w:sz w:val="32"/>
          <w:szCs w:val="32"/>
          <w:lang w:val="en-US" w:eastAsia="zh-CN"/>
        </w:rPr>
      </w:pPr>
      <w:r>
        <w:rPr>
          <w:rFonts w:hint="eastAsia" w:ascii="Times New Roman" w:hAnsi="Times New Roman" w:eastAsia="方正楷体_GBK" w:cs="Times New Roman"/>
          <w:color w:val="auto"/>
          <w:sz w:val="32"/>
          <w:szCs w:val="32"/>
        </w:rPr>
        <w:t>（</w:t>
      </w:r>
      <w:r>
        <w:rPr>
          <w:rFonts w:hint="eastAsia" w:ascii="Times New Roman" w:hAnsi="Times New Roman" w:eastAsia="方正楷体_GBK" w:cs="Times New Roman"/>
          <w:color w:val="auto"/>
          <w:sz w:val="32"/>
          <w:szCs w:val="32"/>
          <w:lang w:val="en-US" w:eastAsia="zh-CN"/>
        </w:rPr>
        <w:t>六</w:t>
      </w:r>
      <w:r>
        <w:rPr>
          <w:rFonts w:hint="eastAsia" w:ascii="Times New Roman" w:hAnsi="Times New Roman" w:eastAsia="方正楷体_GBK" w:cs="Times New Roman"/>
          <w:color w:val="auto"/>
          <w:sz w:val="32"/>
          <w:szCs w:val="32"/>
        </w:rPr>
        <w:t>）明确整改与监督要求。</w:t>
      </w:r>
      <w:r>
        <w:rPr>
          <w:rFonts w:hint="eastAsia" w:ascii="Times New Roman" w:hAnsi="Times New Roman" w:eastAsia="方正仿宋_GBK" w:cs="Times New Roman"/>
          <w:color w:val="auto"/>
          <w:sz w:val="32"/>
          <w:szCs w:val="32"/>
          <w:lang w:val="en-US" w:eastAsia="zh-CN"/>
        </w:rPr>
        <w:t>征求意见稿</w:t>
      </w:r>
      <w:r>
        <w:rPr>
          <w:rFonts w:hint="eastAsia" w:ascii="Times New Roman" w:hAnsi="Times New Roman" w:eastAsia="方正仿宋_GBK" w:cs="Times New Roman"/>
          <w:color w:val="auto"/>
          <w:sz w:val="32"/>
          <w:szCs w:val="32"/>
        </w:rPr>
        <w:t>在第十</w:t>
      </w:r>
      <w:r>
        <w:rPr>
          <w:rFonts w:hint="eastAsia" w:ascii="Times New Roman" w:hAnsi="Times New Roman" w:eastAsia="方正仿宋_GBK" w:cs="Times New Roman"/>
          <w:color w:val="auto"/>
          <w:sz w:val="32"/>
          <w:szCs w:val="32"/>
          <w:lang w:val="en-US" w:eastAsia="zh-CN"/>
        </w:rPr>
        <w:t>四</w:t>
      </w:r>
      <w:r>
        <w:rPr>
          <w:rFonts w:hint="eastAsia" w:ascii="Times New Roman" w:hAnsi="Times New Roman" w:eastAsia="方正仿宋_GBK" w:cs="Times New Roman"/>
          <w:color w:val="auto"/>
          <w:sz w:val="32"/>
          <w:szCs w:val="32"/>
        </w:rPr>
        <w:t>条中</w:t>
      </w:r>
      <w:r>
        <w:rPr>
          <w:rFonts w:hint="eastAsia" w:ascii="Times New Roman" w:hAnsi="Times New Roman" w:eastAsia="方正仿宋_GBK" w:cs="Times New Roman"/>
          <w:color w:val="auto"/>
          <w:sz w:val="32"/>
          <w:szCs w:val="32"/>
          <w:lang w:val="en-US" w:eastAsia="zh-CN"/>
        </w:rPr>
        <w:t>拟定，</w:t>
      </w:r>
      <w:r>
        <w:rPr>
          <w:rFonts w:hint="eastAsia" w:ascii="方正仿宋_GBK" w:hAnsi="方正仿宋_GBK" w:eastAsia="方正仿宋_GBK" w:cs="方正仿宋_GBK"/>
          <w:color w:val="auto"/>
          <w:sz w:val="32"/>
          <w:szCs w:val="32"/>
          <w:lang w:eastAsia="zh-CN"/>
        </w:rPr>
        <w:t>责任约谈结束后，</w:t>
      </w:r>
      <w:r>
        <w:rPr>
          <w:rFonts w:hint="eastAsia" w:ascii="方正仿宋_GBK" w:hAnsi="方正仿宋_GBK" w:eastAsia="方正仿宋_GBK" w:cs="方正仿宋_GBK"/>
          <w:color w:val="auto"/>
          <w:sz w:val="32"/>
          <w:szCs w:val="32"/>
        </w:rPr>
        <w:t>被约谈</w:t>
      </w:r>
      <w:r>
        <w:rPr>
          <w:rFonts w:hint="eastAsia" w:ascii="Times New Roman" w:hAnsi="Times New Roman" w:eastAsia="方正仿宋_GBK" w:cs="Times New Roman"/>
          <w:color w:val="auto"/>
          <w:sz w:val="32"/>
          <w:szCs w:val="32"/>
        </w:rPr>
        <w:t>人所在单位</w:t>
      </w:r>
      <w:r>
        <w:rPr>
          <w:rFonts w:hint="eastAsia" w:ascii="方正仿宋_GBK" w:hAnsi="方正仿宋_GBK" w:eastAsia="方正仿宋_GBK" w:cs="方正仿宋_GBK"/>
          <w:color w:val="auto"/>
          <w:sz w:val="32"/>
          <w:szCs w:val="32"/>
        </w:rPr>
        <w:t>应当立即采取措施控制风险，进行整改，消除隐患，并在规定期限内提交整改报告</w:t>
      </w:r>
      <w:r>
        <w:rPr>
          <w:rFonts w:hint="eastAsia" w:ascii="方正仿宋_GBK" w:hAnsi="方正仿宋_GBK" w:eastAsia="方正仿宋_GBK" w:cs="方正仿宋_GBK"/>
          <w:color w:val="auto"/>
          <w:sz w:val="32"/>
          <w:szCs w:val="32"/>
          <w:lang w:eastAsia="zh-CN"/>
        </w:rPr>
        <w:t>；药品监督管理部门应当</w:t>
      </w:r>
      <w:r>
        <w:rPr>
          <w:rFonts w:hint="eastAsia" w:ascii="方正仿宋_GBK" w:hAnsi="方正仿宋_GBK" w:eastAsia="方正仿宋_GBK" w:cs="方正仿宋_GBK"/>
          <w:color w:val="auto"/>
          <w:sz w:val="32"/>
          <w:szCs w:val="32"/>
        </w:rPr>
        <w:t>督促被约谈</w:t>
      </w:r>
      <w:r>
        <w:rPr>
          <w:rFonts w:hint="eastAsia" w:ascii="Times New Roman" w:hAnsi="Times New Roman" w:eastAsia="方正仿宋_GBK" w:cs="Times New Roman"/>
          <w:color w:val="auto"/>
          <w:sz w:val="32"/>
          <w:szCs w:val="32"/>
        </w:rPr>
        <w:t>人所在单位</w:t>
      </w:r>
      <w:r>
        <w:rPr>
          <w:rFonts w:hint="eastAsia" w:ascii="方正仿宋_GBK" w:hAnsi="方正仿宋_GBK" w:eastAsia="方正仿宋_GBK" w:cs="方正仿宋_GBK"/>
          <w:color w:val="auto"/>
          <w:sz w:val="32"/>
          <w:szCs w:val="32"/>
        </w:rPr>
        <w:t>按照要求</w:t>
      </w:r>
      <w:r>
        <w:rPr>
          <w:rFonts w:hint="eastAsia" w:ascii="方正仿宋_GBK" w:hAnsi="方正仿宋_GBK" w:eastAsia="方正仿宋_GBK" w:cs="方正仿宋_GBK"/>
          <w:color w:val="auto"/>
          <w:sz w:val="32"/>
          <w:szCs w:val="32"/>
          <w:lang w:eastAsia="zh-CN"/>
        </w:rPr>
        <w:t>推进和完成</w:t>
      </w:r>
      <w:r>
        <w:rPr>
          <w:rFonts w:hint="eastAsia" w:ascii="方正仿宋_GBK" w:hAnsi="方正仿宋_GBK" w:eastAsia="方正仿宋_GBK" w:cs="方正仿宋_GBK"/>
          <w:color w:val="auto"/>
          <w:sz w:val="32"/>
          <w:szCs w:val="32"/>
        </w:rPr>
        <w:t>整改工作</w:t>
      </w:r>
      <w:r>
        <w:rPr>
          <w:rFonts w:hint="eastAsia" w:ascii="方正仿宋_GBK" w:hAnsi="方正仿宋_GBK" w:eastAsia="方正仿宋_GBK" w:cs="方正仿宋_GBK"/>
          <w:color w:val="auto"/>
          <w:sz w:val="32"/>
          <w:szCs w:val="32"/>
          <w:lang w:eastAsia="zh-CN"/>
        </w:rPr>
        <w:t>，</w:t>
      </w:r>
      <w:r>
        <w:rPr>
          <w:rFonts w:hint="eastAsia" w:ascii="方正仿宋_GBK" w:hAnsi="方正仿宋_GBK" w:eastAsia="方正仿宋_GBK" w:cs="方正仿宋_GBK"/>
          <w:color w:val="auto"/>
          <w:sz w:val="32"/>
          <w:szCs w:val="32"/>
        </w:rPr>
        <w:t>必要时可以对整改情况组织</w:t>
      </w:r>
      <w:r>
        <w:rPr>
          <w:rFonts w:hint="eastAsia" w:ascii="方正仿宋_GBK" w:hAnsi="方正仿宋_GBK" w:eastAsia="方正仿宋_GBK" w:cs="方正仿宋_GBK"/>
          <w:color w:val="auto"/>
          <w:sz w:val="32"/>
          <w:szCs w:val="32"/>
          <w:lang w:eastAsia="zh-CN"/>
        </w:rPr>
        <w:t>开展</w:t>
      </w:r>
      <w:r>
        <w:rPr>
          <w:rFonts w:hint="eastAsia" w:ascii="方正仿宋_GBK" w:hAnsi="方正仿宋_GBK" w:eastAsia="方正仿宋_GBK" w:cs="方正仿宋_GBK"/>
          <w:color w:val="auto"/>
          <w:sz w:val="32"/>
          <w:szCs w:val="32"/>
        </w:rPr>
        <w:t>跟踪</w:t>
      </w:r>
      <w:r>
        <w:rPr>
          <w:rFonts w:hint="eastAsia" w:ascii="方正仿宋_GBK" w:hAnsi="方正仿宋_GBK" w:eastAsia="方正仿宋_GBK" w:cs="方正仿宋_GBK"/>
          <w:color w:val="auto"/>
          <w:sz w:val="32"/>
          <w:szCs w:val="32"/>
          <w:lang w:eastAsia="zh-CN"/>
        </w:rPr>
        <w:t>检</w:t>
      </w:r>
      <w:r>
        <w:rPr>
          <w:rFonts w:hint="eastAsia" w:ascii="方正仿宋_GBK" w:hAnsi="方正仿宋_GBK" w:eastAsia="方正仿宋_GBK" w:cs="方正仿宋_GBK"/>
          <w:color w:val="auto"/>
          <w:sz w:val="32"/>
          <w:szCs w:val="32"/>
        </w:rPr>
        <w:t>查。</w:t>
      </w:r>
      <w:r>
        <w:rPr>
          <w:rFonts w:hint="eastAsia" w:ascii="Times New Roman" w:hAnsi="Times New Roman" w:eastAsia="方正仿宋_GBK" w:cs="Times New Roman"/>
          <w:color w:val="auto"/>
          <w:sz w:val="32"/>
          <w:szCs w:val="32"/>
        </w:rPr>
        <w:t>在第十</w:t>
      </w:r>
      <w:r>
        <w:rPr>
          <w:rFonts w:hint="eastAsia" w:ascii="Times New Roman" w:hAnsi="Times New Roman" w:eastAsia="方正仿宋_GBK" w:cs="Times New Roman"/>
          <w:color w:val="auto"/>
          <w:sz w:val="32"/>
          <w:szCs w:val="32"/>
          <w:lang w:val="en-US" w:eastAsia="zh-CN"/>
        </w:rPr>
        <w:t>五</w:t>
      </w:r>
      <w:r>
        <w:rPr>
          <w:rFonts w:hint="eastAsia" w:ascii="Times New Roman" w:hAnsi="Times New Roman" w:eastAsia="方正仿宋_GBK" w:cs="Times New Roman"/>
          <w:color w:val="auto"/>
          <w:sz w:val="32"/>
          <w:szCs w:val="32"/>
        </w:rPr>
        <w:t>条中</w:t>
      </w:r>
      <w:r>
        <w:rPr>
          <w:rFonts w:hint="eastAsia" w:ascii="Times New Roman" w:hAnsi="Times New Roman" w:eastAsia="方正仿宋_GBK" w:cs="Times New Roman"/>
          <w:color w:val="auto"/>
          <w:sz w:val="32"/>
          <w:szCs w:val="32"/>
          <w:lang w:val="en-US" w:eastAsia="zh-CN"/>
        </w:rPr>
        <w:t>拟定对</w:t>
      </w:r>
      <w:r>
        <w:rPr>
          <w:rFonts w:hint="eastAsia" w:ascii="方正仿宋_GBK" w:hAnsi="方正仿宋_GBK" w:eastAsia="方正仿宋_GBK" w:cs="方正仿宋_GBK"/>
          <w:color w:val="auto"/>
          <w:sz w:val="32"/>
          <w:szCs w:val="32"/>
          <w:lang w:eastAsia="zh-CN"/>
        </w:rPr>
        <w:t>被约谈人</w:t>
      </w:r>
      <w:r>
        <w:rPr>
          <w:rFonts w:hint="eastAsia" w:ascii="方正仿宋_GBK" w:hAnsi="方正仿宋_GBK" w:eastAsia="方正仿宋_GBK" w:cs="方正仿宋_GBK"/>
          <w:color w:val="auto"/>
          <w:sz w:val="32"/>
          <w:szCs w:val="32"/>
        </w:rPr>
        <w:t>拒不参加约谈或者拒不按要求整改的</w:t>
      </w:r>
      <w:r>
        <w:rPr>
          <w:rFonts w:hint="eastAsia" w:ascii="方正仿宋_GBK" w:hAnsi="方正仿宋_GBK" w:eastAsia="方正仿宋_GBK" w:cs="方正仿宋_GBK"/>
          <w:color w:val="auto"/>
          <w:sz w:val="32"/>
          <w:szCs w:val="32"/>
          <w:lang w:val="en-US" w:eastAsia="zh-CN"/>
        </w:rPr>
        <w:t>处理要求。</w:t>
      </w:r>
    </w:p>
    <w:p>
      <w:pPr>
        <w:keepNext w:val="0"/>
        <w:keepLines w:val="0"/>
        <w:pageBreakBefore w:val="0"/>
        <w:widowControl w:val="0"/>
        <w:kinsoku/>
        <w:wordWrap/>
        <w:overflowPunct/>
        <w:topLinePunct w:val="0"/>
        <w:autoSpaceDE/>
        <w:autoSpaceDN/>
        <w:bidi w:val="0"/>
        <w:adjustRightInd w:val="0"/>
        <w:snapToGrid w:val="0"/>
        <w:spacing w:line="590" w:lineRule="atLeast"/>
        <w:ind w:left="0" w:leftChars="0" w:firstLine="640" w:firstLineChars="200"/>
        <w:textAlignment w:val="auto"/>
        <w:rPr>
          <w:rFonts w:hint="eastAsia" w:ascii="Times New Roman" w:hAnsi="Times New Roman" w:eastAsia="方正仿宋_GBK" w:cs="Times New Roman"/>
          <w:color w:val="auto"/>
          <w:sz w:val="32"/>
          <w:szCs w:val="32"/>
          <w:lang w:val="en-US" w:eastAsia="zh-CN"/>
        </w:rPr>
      </w:pPr>
      <w:r>
        <w:rPr>
          <w:rFonts w:hint="eastAsia" w:ascii="Times New Roman" w:hAnsi="Times New Roman" w:eastAsia="方正楷体_GBK" w:cs="Times New Roman"/>
          <w:color w:val="auto"/>
          <w:sz w:val="32"/>
          <w:szCs w:val="32"/>
        </w:rPr>
        <w:t>（</w:t>
      </w:r>
      <w:r>
        <w:rPr>
          <w:rFonts w:hint="eastAsia" w:ascii="Times New Roman" w:hAnsi="Times New Roman" w:eastAsia="方正楷体_GBK" w:cs="Times New Roman"/>
          <w:color w:val="auto"/>
          <w:sz w:val="32"/>
          <w:szCs w:val="32"/>
          <w:lang w:val="en-US" w:eastAsia="zh-CN"/>
        </w:rPr>
        <w:t>七</w:t>
      </w:r>
      <w:r>
        <w:rPr>
          <w:rFonts w:hint="eastAsia" w:ascii="Times New Roman" w:hAnsi="Times New Roman" w:eastAsia="方正楷体_GBK" w:cs="Times New Roman"/>
          <w:color w:val="auto"/>
          <w:sz w:val="32"/>
          <w:szCs w:val="32"/>
        </w:rPr>
        <w:t>）明确其他方面。</w:t>
      </w:r>
      <w:r>
        <w:rPr>
          <w:rFonts w:hint="eastAsia" w:ascii="Times New Roman" w:hAnsi="Times New Roman" w:eastAsia="方正仿宋_GBK" w:cs="Times New Roman"/>
          <w:color w:val="auto"/>
          <w:sz w:val="32"/>
          <w:szCs w:val="32"/>
          <w:lang w:val="en-US" w:eastAsia="zh-CN"/>
        </w:rPr>
        <w:t>征求意见稿</w:t>
      </w:r>
      <w:r>
        <w:rPr>
          <w:rFonts w:hint="eastAsia" w:ascii="Times New Roman" w:hAnsi="Times New Roman" w:eastAsia="方正仿宋_GBK" w:cs="Times New Roman"/>
          <w:color w:val="auto"/>
          <w:sz w:val="32"/>
          <w:szCs w:val="32"/>
        </w:rPr>
        <w:t>在第十</w:t>
      </w:r>
      <w:r>
        <w:rPr>
          <w:rFonts w:hint="eastAsia" w:ascii="Times New Roman" w:hAnsi="Times New Roman" w:eastAsia="方正仿宋_GBK" w:cs="Times New Roman"/>
          <w:color w:val="auto"/>
          <w:sz w:val="32"/>
          <w:szCs w:val="32"/>
          <w:lang w:val="en-US" w:eastAsia="zh-CN"/>
        </w:rPr>
        <w:t>六</w:t>
      </w:r>
      <w:r>
        <w:rPr>
          <w:rFonts w:hint="eastAsia" w:ascii="Times New Roman" w:hAnsi="Times New Roman" w:eastAsia="方正仿宋_GBK" w:cs="Times New Roman"/>
          <w:color w:val="auto"/>
          <w:sz w:val="32"/>
          <w:szCs w:val="32"/>
        </w:rPr>
        <w:t>条</w:t>
      </w:r>
      <w:r>
        <w:rPr>
          <w:rFonts w:hint="eastAsia" w:ascii="Times New Roman" w:hAnsi="Times New Roman" w:eastAsia="方正仿宋_GBK" w:cs="Times New Roman"/>
          <w:color w:val="auto"/>
          <w:sz w:val="32"/>
          <w:szCs w:val="32"/>
          <w:lang w:eastAsia="zh-CN"/>
        </w:rPr>
        <w:t>至第十九条</w:t>
      </w:r>
      <w:r>
        <w:rPr>
          <w:rFonts w:hint="eastAsia" w:ascii="Times New Roman" w:hAnsi="Times New Roman" w:eastAsia="方正仿宋_GBK" w:cs="Times New Roman"/>
          <w:color w:val="auto"/>
          <w:sz w:val="32"/>
          <w:szCs w:val="32"/>
        </w:rPr>
        <w:t>中，</w:t>
      </w:r>
      <w:r>
        <w:rPr>
          <w:rFonts w:hint="eastAsia" w:ascii="Times New Roman" w:hAnsi="Times New Roman" w:eastAsia="方正仿宋_GBK" w:cs="Times New Roman"/>
          <w:color w:val="auto"/>
          <w:sz w:val="32"/>
          <w:szCs w:val="32"/>
          <w:lang w:val="en-US" w:eastAsia="zh-CN"/>
        </w:rPr>
        <w:t>分别规定了责任约谈和整改情况纳入对</w:t>
      </w:r>
      <w:r>
        <w:rPr>
          <w:rFonts w:hint="eastAsia" w:ascii="方正仿宋_GBK" w:hAnsi="方正仿宋_GBK" w:eastAsia="方正仿宋_GBK" w:cs="方正仿宋_GBK"/>
          <w:color w:val="auto"/>
          <w:sz w:val="32"/>
          <w:szCs w:val="32"/>
        </w:rPr>
        <w:t>被约谈</w:t>
      </w:r>
      <w:r>
        <w:rPr>
          <w:rFonts w:hint="eastAsia" w:ascii="Times New Roman" w:hAnsi="Times New Roman" w:eastAsia="方正仿宋_GBK" w:cs="Times New Roman"/>
          <w:color w:val="auto"/>
          <w:sz w:val="32"/>
          <w:szCs w:val="32"/>
        </w:rPr>
        <w:t>人所在单位</w:t>
      </w:r>
      <w:r>
        <w:rPr>
          <w:rFonts w:hint="eastAsia" w:ascii="Times New Roman" w:hAnsi="Times New Roman" w:eastAsia="方正仿宋_GBK" w:cs="Times New Roman"/>
          <w:color w:val="auto"/>
          <w:sz w:val="32"/>
          <w:szCs w:val="32"/>
          <w:lang w:val="en-US" w:eastAsia="zh-CN"/>
        </w:rPr>
        <w:t>的信用档案、对相应信息保密、责任约谈不影响药品监督管理部门对</w:t>
      </w:r>
      <w:r>
        <w:rPr>
          <w:rFonts w:hint="eastAsia" w:ascii="方正仿宋_GBK" w:hAnsi="方正仿宋_GBK" w:eastAsia="方正仿宋_GBK" w:cs="方正仿宋_GBK"/>
          <w:color w:val="auto"/>
          <w:sz w:val="32"/>
          <w:szCs w:val="32"/>
        </w:rPr>
        <w:t>被约谈</w:t>
      </w:r>
      <w:r>
        <w:rPr>
          <w:rFonts w:hint="eastAsia" w:ascii="Times New Roman" w:hAnsi="Times New Roman" w:eastAsia="方正仿宋_GBK" w:cs="Times New Roman"/>
          <w:color w:val="auto"/>
          <w:sz w:val="32"/>
          <w:szCs w:val="32"/>
        </w:rPr>
        <w:t>人所在单位</w:t>
      </w:r>
      <w:r>
        <w:rPr>
          <w:rFonts w:hint="eastAsia" w:ascii="Times New Roman" w:hAnsi="Times New Roman" w:eastAsia="方正仿宋_GBK" w:cs="Times New Roman"/>
          <w:color w:val="auto"/>
          <w:sz w:val="32"/>
          <w:szCs w:val="32"/>
          <w:lang w:val="en-US" w:eastAsia="zh-CN"/>
        </w:rPr>
        <w:t>依法采取其他处理措施和本办法的开始施行日期、有效期与废止文件要求。此外，征求意见稿附有《责任约谈通知书（参考样式）》《责任约谈记录（参考样式）》。</w:t>
      </w:r>
    </w:p>
    <w:sectPr>
      <w:footerReference r:id="rId3" w:type="default"/>
      <w:pgSz w:w="11906" w:h="16838"/>
      <w:pgMar w:top="1814" w:right="1531" w:bottom="1985" w:left="1531" w:header="720" w:footer="1474"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_GB2312">
    <w:altName w:val="楷体"/>
    <w:panose1 w:val="02010609030101010101"/>
    <w:charset w:val="86"/>
    <w:family w:val="auto"/>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_GBK">
    <w:panose1 w:val="03000509000000000000"/>
    <w:charset w:val="86"/>
    <w:family w:val="script"/>
    <w:pitch w:val="default"/>
    <w:sig w:usb0="00000001" w:usb1="080E0000" w:usb2="00000000" w:usb3="00000000" w:csb0="00040000" w:csb1="00000000"/>
  </w:font>
  <w:font w:name="方正黑体_GBK">
    <w:panose1 w:val="03000509000000000000"/>
    <w:charset w:val="86"/>
    <w:family w:val="script"/>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微软雅黑">
    <w:panose1 w:val="020B0503020204020204"/>
    <w:charset w:val="86"/>
    <w:family w:val="swiss"/>
    <w:pitch w:val="default"/>
    <w:sig w:usb0="80000287" w:usb1="280F3C52" w:usb2="00000016" w:usb3="00000000" w:csb0="0004001F" w:csb1="00000000"/>
  </w:font>
  <w:font w:name="方正楷体_GBK">
    <w:panose1 w:val="03000509000000000000"/>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jc w:val="center"/>
      <w:rPr>
        <w:rFonts w:ascii="方正仿宋_GBK" w:eastAsia="方正仿宋_GBK"/>
        <w:sz w:val="28"/>
        <w:szCs w:val="28"/>
      </w:rPr>
    </w:pPr>
    <w:r>
      <w:rPr>
        <w:sz w:val="2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 xml:space="preserve">— </w:t>
                          </w:r>
                          <w:r>
                            <w:rPr>
                              <w:rFonts w:hint="eastAsia" w:ascii="方正仿宋_GBK" w:hAnsi="方正仿宋_GBK" w:eastAsia="方正仿宋_GBK" w:cs="方正仿宋_GBK"/>
                              <w:sz w:val="28"/>
                              <w:szCs w:val="28"/>
                            </w:rPr>
                            <w:fldChar w:fldCharType="begin"/>
                          </w:r>
                          <w:r>
                            <w:rPr>
                              <w:rFonts w:hint="eastAsia" w:ascii="方正仿宋_GBK" w:hAnsi="方正仿宋_GBK" w:eastAsia="方正仿宋_GBK" w:cs="方正仿宋_GBK"/>
                              <w:sz w:val="28"/>
                              <w:szCs w:val="28"/>
                            </w:rPr>
                            <w:instrText xml:space="preserve"> PAGE  \* MERGEFORMAT </w:instrText>
                          </w:r>
                          <w:r>
                            <w:rPr>
                              <w:rFonts w:hint="eastAsia" w:ascii="方正仿宋_GBK" w:hAnsi="方正仿宋_GBK" w:eastAsia="方正仿宋_GBK" w:cs="方正仿宋_GBK"/>
                              <w:sz w:val="28"/>
                              <w:szCs w:val="28"/>
                            </w:rPr>
                            <w:fldChar w:fldCharType="separate"/>
                          </w:r>
                          <w:r>
                            <w:rPr>
                              <w:rFonts w:hint="eastAsia" w:ascii="方正仿宋_GBK" w:hAnsi="方正仿宋_GBK" w:eastAsia="方正仿宋_GBK" w:cs="方正仿宋_GBK"/>
                              <w:sz w:val="28"/>
                              <w:szCs w:val="28"/>
                            </w:rPr>
                            <w:t>- 1 -</w:t>
                          </w:r>
                          <w:r>
                            <w:rPr>
                              <w:rFonts w:hint="eastAsia" w:ascii="方正仿宋_GBK" w:hAnsi="方正仿宋_GBK" w:eastAsia="方正仿宋_GBK" w:cs="方正仿宋_GBK"/>
                              <w:sz w:val="28"/>
                              <w:szCs w:val="28"/>
                            </w:rPr>
                            <w:fldChar w:fldCharType="end"/>
                          </w:r>
                          <w:r>
                            <w:rPr>
                              <w:rFonts w:hint="eastAsia" w:ascii="方正仿宋_GBK" w:hAnsi="方正仿宋_GBK" w:eastAsia="方正仿宋_GBK" w:cs="方正仿宋_GBK"/>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5"/>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 xml:space="preserve">— </w:t>
                    </w:r>
                    <w:r>
                      <w:rPr>
                        <w:rFonts w:hint="eastAsia" w:ascii="方正仿宋_GBK" w:hAnsi="方正仿宋_GBK" w:eastAsia="方正仿宋_GBK" w:cs="方正仿宋_GBK"/>
                        <w:sz w:val="28"/>
                        <w:szCs w:val="28"/>
                      </w:rPr>
                      <w:fldChar w:fldCharType="begin"/>
                    </w:r>
                    <w:r>
                      <w:rPr>
                        <w:rFonts w:hint="eastAsia" w:ascii="方正仿宋_GBK" w:hAnsi="方正仿宋_GBK" w:eastAsia="方正仿宋_GBK" w:cs="方正仿宋_GBK"/>
                        <w:sz w:val="28"/>
                        <w:szCs w:val="28"/>
                      </w:rPr>
                      <w:instrText xml:space="preserve"> PAGE  \* MERGEFORMAT </w:instrText>
                    </w:r>
                    <w:r>
                      <w:rPr>
                        <w:rFonts w:hint="eastAsia" w:ascii="方正仿宋_GBK" w:hAnsi="方正仿宋_GBK" w:eastAsia="方正仿宋_GBK" w:cs="方正仿宋_GBK"/>
                        <w:sz w:val="28"/>
                        <w:szCs w:val="28"/>
                      </w:rPr>
                      <w:fldChar w:fldCharType="separate"/>
                    </w:r>
                    <w:r>
                      <w:rPr>
                        <w:rFonts w:hint="eastAsia" w:ascii="方正仿宋_GBK" w:hAnsi="方正仿宋_GBK" w:eastAsia="方正仿宋_GBK" w:cs="方正仿宋_GBK"/>
                        <w:sz w:val="28"/>
                        <w:szCs w:val="28"/>
                      </w:rPr>
                      <w:t>- 1 -</w:t>
                    </w:r>
                    <w:r>
                      <w:rPr>
                        <w:rFonts w:hint="eastAsia" w:ascii="方正仿宋_GBK" w:hAnsi="方正仿宋_GBK" w:eastAsia="方正仿宋_GBK" w:cs="方正仿宋_GBK"/>
                        <w:sz w:val="28"/>
                        <w:szCs w:val="28"/>
                      </w:rPr>
                      <w:fldChar w:fldCharType="end"/>
                    </w:r>
                    <w:r>
                      <w:rPr>
                        <w:rFonts w:hint="eastAsia" w:ascii="方正仿宋_GBK" w:hAnsi="方正仿宋_GBK" w:eastAsia="方正仿宋_GBK" w:cs="方正仿宋_GBK"/>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MwMDZjNTkyZmI1NjVhMmQ2ZGM4MTY4OWIyZTY4ZDIifQ=="/>
  </w:docVars>
  <w:rsids>
    <w:rsidRoot w:val="00BA601E"/>
    <w:rsid w:val="00015C69"/>
    <w:rsid w:val="00026D7E"/>
    <w:rsid w:val="000421DA"/>
    <w:rsid w:val="000652C6"/>
    <w:rsid w:val="00065F50"/>
    <w:rsid w:val="00092A18"/>
    <w:rsid w:val="00093E49"/>
    <w:rsid w:val="000D4CC9"/>
    <w:rsid w:val="000E2D6D"/>
    <w:rsid w:val="00105D71"/>
    <w:rsid w:val="001209C8"/>
    <w:rsid w:val="00125D99"/>
    <w:rsid w:val="001408A3"/>
    <w:rsid w:val="001430FF"/>
    <w:rsid w:val="0017482F"/>
    <w:rsid w:val="00192253"/>
    <w:rsid w:val="001B1141"/>
    <w:rsid w:val="001E7F1D"/>
    <w:rsid w:val="0021022C"/>
    <w:rsid w:val="00226DB3"/>
    <w:rsid w:val="00231862"/>
    <w:rsid w:val="002330AA"/>
    <w:rsid w:val="002372F0"/>
    <w:rsid w:val="00254B3F"/>
    <w:rsid w:val="002620CB"/>
    <w:rsid w:val="002E76D6"/>
    <w:rsid w:val="002F75F0"/>
    <w:rsid w:val="002F7D48"/>
    <w:rsid w:val="00300C5E"/>
    <w:rsid w:val="00344AB3"/>
    <w:rsid w:val="00354CCC"/>
    <w:rsid w:val="0037753B"/>
    <w:rsid w:val="00380B24"/>
    <w:rsid w:val="003C06F3"/>
    <w:rsid w:val="003C61F7"/>
    <w:rsid w:val="003D6814"/>
    <w:rsid w:val="003E3B68"/>
    <w:rsid w:val="00401A0A"/>
    <w:rsid w:val="0041762A"/>
    <w:rsid w:val="004525F8"/>
    <w:rsid w:val="004544AD"/>
    <w:rsid w:val="00464024"/>
    <w:rsid w:val="004A2732"/>
    <w:rsid w:val="004D54F9"/>
    <w:rsid w:val="00500FA8"/>
    <w:rsid w:val="00517C4F"/>
    <w:rsid w:val="00555DC1"/>
    <w:rsid w:val="00570DF3"/>
    <w:rsid w:val="005850D1"/>
    <w:rsid w:val="00587AE3"/>
    <w:rsid w:val="005A359C"/>
    <w:rsid w:val="005C64DA"/>
    <w:rsid w:val="00604D7D"/>
    <w:rsid w:val="00637B83"/>
    <w:rsid w:val="006437D8"/>
    <w:rsid w:val="00671E45"/>
    <w:rsid w:val="00674A64"/>
    <w:rsid w:val="0067641F"/>
    <w:rsid w:val="00680332"/>
    <w:rsid w:val="00680EA4"/>
    <w:rsid w:val="00681BF4"/>
    <w:rsid w:val="006867DF"/>
    <w:rsid w:val="00687468"/>
    <w:rsid w:val="006A1642"/>
    <w:rsid w:val="006D16BA"/>
    <w:rsid w:val="00702CDD"/>
    <w:rsid w:val="00715F57"/>
    <w:rsid w:val="00732E2C"/>
    <w:rsid w:val="00736CE9"/>
    <w:rsid w:val="00742F10"/>
    <w:rsid w:val="00754894"/>
    <w:rsid w:val="0077796E"/>
    <w:rsid w:val="00794BB1"/>
    <w:rsid w:val="007E4E01"/>
    <w:rsid w:val="007F1403"/>
    <w:rsid w:val="007F28E5"/>
    <w:rsid w:val="007F4E81"/>
    <w:rsid w:val="00800C4A"/>
    <w:rsid w:val="0086643B"/>
    <w:rsid w:val="00906D4C"/>
    <w:rsid w:val="009504CA"/>
    <w:rsid w:val="00954AA7"/>
    <w:rsid w:val="009556A4"/>
    <w:rsid w:val="00997E02"/>
    <w:rsid w:val="009C47CC"/>
    <w:rsid w:val="009C4C75"/>
    <w:rsid w:val="009D1262"/>
    <w:rsid w:val="00A23E8E"/>
    <w:rsid w:val="00A24386"/>
    <w:rsid w:val="00A52EFE"/>
    <w:rsid w:val="00A86D08"/>
    <w:rsid w:val="00AE0B7C"/>
    <w:rsid w:val="00AF3599"/>
    <w:rsid w:val="00AF6EF7"/>
    <w:rsid w:val="00B065C8"/>
    <w:rsid w:val="00B26268"/>
    <w:rsid w:val="00BA5457"/>
    <w:rsid w:val="00BA601E"/>
    <w:rsid w:val="00BD1D88"/>
    <w:rsid w:val="00BE0AC4"/>
    <w:rsid w:val="00BE1022"/>
    <w:rsid w:val="00BF4BC9"/>
    <w:rsid w:val="00CA5A5A"/>
    <w:rsid w:val="00D10872"/>
    <w:rsid w:val="00D15142"/>
    <w:rsid w:val="00D23C22"/>
    <w:rsid w:val="00D604BA"/>
    <w:rsid w:val="00D6415F"/>
    <w:rsid w:val="00D77ED0"/>
    <w:rsid w:val="00D90BBC"/>
    <w:rsid w:val="00DB109A"/>
    <w:rsid w:val="00DE0C92"/>
    <w:rsid w:val="00DE40C4"/>
    <w:rsid w:val="00E569E0"/>
    <w:rsid w:val="00E8623C"/>
    <w:rsid w:val="00EA302D"/>
    <w:rsid w:val="00EA33E3"/>
    <w:rsid w:val="00EB4463"/>
    <w:rsid w:val="00F052DB"/>
    <w:rsid w:val="00F53526"/>
    <w:rsid w:val="00F5511B"/>
    <w:rsid w:val="00F70F94"/>
    <w:rsid w:val="00F82504"/>
    <w:rsid w:val="00F8650C"/>
    <w:rsid w:val="00FB0C6B"/>
    <w:rsid w:val="00FC740D"/>
    <w:rsid w:val="00FE7A0C"/>
    <w:rsid w:val="00FF6265"/>
    <w:rsid w:val="016D6AC7"/>
    <w:rsid w:val="03F37758"/>
    <w:rsid w:val="04001E75"/>
    <w:rsid w:val="044C0C16"/>
    <w:rsid w:val="0543026B"/>
    <w:rsid w:val="06FE6B3F"/>
    <w:rsid w:val="07FB307F"/>
    <w:rsid w:val="08283AEA"/>
    <w:rsid w:val="083E1E44"/>
    <w:rsid w:val="09023F99"/>
    <w:rsid w:val="09041044"/>
    <w:rsid w:val="098470A4"/>
    <w:rsid w:val="09EF6C13"/>
    <w:rsid w:val="0A2933A4"/>
    <w:rsid w:val="0AA07F0D"/>
    <w:rsid w:val="0BBD11B7"/>
    <w:rsid w:val="0C6A2581"/>
    <w:rsid w:val="0CEE7179"/>
    <w:rsid w:val="0E6736DF"/>
    <w:rsid w:val="0ED36AEC"/>
    <w:rsid w:val="0EDC703A"/>
    <w:rsid w:val="10262C63"/>
    <w:rsid w:val="12D20E80"/>
    <w:rsid w:val="138064E8"/>
    <w:rsid w:val="14AB63AC"/>
    <w:rsid w:val="15DB04EC"/>
    <w:rsid w:val="15E6711C"/>
    <w:rsid w:val="171639BF"/>
    <w:rsid w:val="194303E2"/>
    <w:rsid w:val="19524AC9"/>
    <w:rsid w:val="19BB1495"/>
    <w:rsid w:val="1AAB623F"/>
    <w:rsid w:val="1AAE793C"/>
    <w:rsid w:val="1AF17964"/>
    <w:rsid w:val="1B401413"/>
    <w:rsid w:val="1B415BC7"/>
    <w:rsid w:val="1D304123"/>
    <w:rsid w:val="1E255D02"/>
    <w:rsid w:val="1EBA7398"/>
    <w:rsid w:val="1FF95C9E"/>
    <w:rsid w:val="217D645B"/>
    <w:rsid w:val="219C4B33"/>
    <w:rsid w:val="22283615"/>
    <w:rsid w:val="226E6DEC"/>
    <w:rsid w:val="23377209"/>
    <w:rsid w:val="238D507B"/>
    <w:rsid w:val="23E12CD1"/>
    <w:rsid w:val="23E72D7E"/>
    <w:rsid w:val="249D7540"/>
    <w:rsid w:val="24BB5C18"/>
    <w:rsid w:val="24C50961"/>
    <w:rsid w:val="2561056D"/>
    <w:rsid w:val="262B0B7B"/>
    <w:rsid w:val="26CE29D6"/>
    <w:rsid w:val="27027B2E"/>
    <w:rsid w:val="27F51441"/>
    <w:rsid w:val="28425ADE"/>
    <w:rsid w:val="2859377E"/>
    <w:rsid w:val="285A5748"/>
    <w:rsid w:val="29E057D9"/>
    <w:rsid w:val="2A353D77"/>
    <w:rsid w:val="2A88034A"/>
    <w:rsid w:val="2A922F77"/>
    <w:rsid w:val="2AF9054C"/>
    <w:rsid w:val="2B4C581C"/>
    <w:rsid w:val="2C491D5B"/>
    <w:rsid w:val="2CF84E03"/>
    <w:rsid w:val="2D7050C6"/>
    <w:rsid w:val="2DB41456"/>
    <w:rsid w:val="2DF92E8E"/>
    <w:rsid w:val="2E76670C"/>
    <w:rsid w:val="2EEE0998"/>
    <w:rsid w:val="2EFA558F"/>
    <w:rsid w:val="2FAD0853"/>
    <w:rsid w:val="30813BBA"/>
    <w:rsid w:val="31096990"/>
    <w:rsid w:val="31532D34"/>
    <w:rsid w:val="332130EA"/>
    <w:rsid w:val="338B4FC0"/>
    <w:rsid w:val="3489363D"/>
    <w:rsid w:val="359009FB"/>
    <w:rsid w:val="3679148F"/>
    <w:rsid w:val="385E6D9F"/>
    <w:rsid w:val="38804D57"/>
    <w:rsid w:val="38EC7CF6"/>
    <w:rsid w:val="399F2FBB"/>
    <w:rsid w:val="3CCA65A0"/>
    <w:rsid w:val="3D6C3AFB"/>
    <w:rsid w:val="3DEB0EC4"/>
    <w:rsid w:val="3F1C6E5B"/>
    <w:rsid w:val="40B01F51"/>
    <w:rsid w:val="40C652D1"/>
    <w:rsid w:val="42B75819"/>
    <w:rsid w:val="42F81823"/>
    <w:rsid w:val="43B875A6"/>
    <w:rsid w:val="44026B38"/>
    <w:rsid w:val="440C56F0"/>
    <w:rsid w:val="441F3676"/>
    <w:rsid w:val="44625310"/>
    <w:rsid w:val="448D4015"/>
    <w:rsid w:val="45841536"/>
    <w:rsid w:val="45E52077"/>
    <w:rsid w:val="45EB1DD4"/>
    <w:rsid w:val="461F5BAF"/>
    <w:rsid w:val="46FF73DC"/>
    <w:rsid w:val="49C16F7D"/>
    <w:rsid w:val="4A0D21C2"/>
    <w:rsid w:val="4B4E4840"/>
    <w:rsid w:val="4B771FE9"/>
    <w:rsid w:val="4BF4363A"/>
    <w:rsid w:val="4C426D44"/>
    <w:rsid w:val="4D302450"/>
    <w:rsid w:val="4D96420E"/>
    <w:rsid w:val="4DD043AD"/>
    <w:rsid w:val="4EA977D1"/>
    <w:rsid w:val="4F041DE6"/>
    <w:rsid w:val="4F2E29BF"/>
    <w:rsid w:val="4F5C305D"/>
    <w:rsid w:val="50E10B6E"/>
    <w:rsid w:val="52214A5D"/>
    <w:rsid w:val="526B5CD8"/>
    <w:rsid w:val="52923265"/>
    <w:rsid w:val="52DA6B11"/>
    <w:rsid w:val="52F12681"/>
    <w:rsid w:val="53034162"/>
    <w:rsid w:val="5342674C"/>
    <w:rsid w:val="540208BE"/>
    <w:rsid w:val="55124B31"/>
    <w:rsid w:val="55375DD1"/>
    <w:rsid w:val="55733821"/>
    <w:rsid w:val="55BF2A09"/>
    <w:rsid w:val="56582A17"/>
    <w:rsid w:val="579E26AC"/>
    <w:rsid w:val="58E81E30"/>
    <w:rsid w:val="590649AC"/>
    <w:rsid w:val="59A815C0"/>
    <w:rsid w:val="59F1740B"/>
    <w:rsid w:val="5A3B0686"/>
    <w:rsid w:val="5A623E64"/>
    <w:rsid w:val="5B57504B"/>
    <w:rsid w:val="5BA26C0E"/>
    <w:rsid w:val="5C3655A9"/>
    <w:rsid w:val="5C4E46A0"/>
    <w:rsid w:val="5C6E4D42"/>
    <w:rsid w:val="5DE27796"/>
    <w:rsid w:val="5E9F7435"/>
    <w:rsid w:val="5EE72B8A"/>
    <w:rsid w:val="5F893C41"/>
    <w:rsid w:val="60397415"/>
    <w:rsid w:val="616473D5"/>
    <w:rsid w:val="622D6B06"/>
    <w:rsid w:val="62CA07F9"/>
    <w:rsid w:val="62D44271"/>
    <w:rsid w:val="631D301E"/>
    <w:rsid w:val="637F7835"/>
    <w:rsid w:val="65E2561F"/>
    <w:rsid w:val="65EE034D"/>
    <w:rsid w:val="662B7800"/>
    <w:rsid w:val="66D06214"/>
    <w:rsid w:val="677D0530"/>
    <w:rsid w:val="678A67A9"/>
    <w:rsid w:val="69731BEA"/>
    <w:rsid w:val="6A6C1919"/>
    <w:rsid w:val="6C6B115E"/>
    <w:rsid w:val="6E531FEA"/>
    <w:rsid w:val="6E91558C"/>
    <w:rsid w:val="6F324FEC"/>
    <w:rsid w:val="6F712728"/>
    <w:rsid w:val="6FA06B69"/>
    <w:rsid w:val="70587444"/>
    <w:rsid w:val="70B4125C"/>
    <w:rsid w:val="714E0847"/>
    <w:rsid w:val="715220E5"/>
    <w:rsid w:val="71A5490B"/>
    <w:rsid w:val="72C2329A"/>
    <w:rsid w:val="74082F2F"/>
    <w:rsid w:val="742C61CA"/>
    <w:rsid w:val="744C516A"/>
    <w:rsid w:val="75A90742"/>
    <w:rsid w:val="762F4CB5"/>
    <w:rsid w:val="763D431E"/>
    <w:rsid w:val="77161E07"/>
    <w:rsid w:val="773109EF"/>
    <w:rsid w:val="78FB5758"/>
    <w:rsid w:val="79020895"/>
    <w:rsid w:val="79CA4E59"/>
    <w:rsid w:val="7A1F7224"/>
    <w:rsid w:val="7B1D5512"/>
    <w:rsid w:val="7C176405"/>
    <w:rsid w:val="7C3A4A30"/>
    <w:rsid w:val="7C4B4301"/>
    <w:rsid w:val="7DBF4FA6"/>
    <w:rsid w:val="7DE442BC"/>
    <w:rsid w:val="7F3E014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qFormat="1" w:unhideWhenUsed="0" w:uiPriority="0" w:semiHidden="0"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autoRedefine/>
    <w:unhideWhenUsed/>
    <w:qFormat/>
    <w:uiPriority w:val="0"/>
    <w:pPr>
      <w:spacing w:before="100" w:beforeAutospacing="1" w:after="100" w:afterAutospacing="1"/>
      <w:jc w:val="left"/>
      <w:outlineLvl w:val="1"/>
    </w:pPr>
    <w:rPr>
      <w:rFonts w:hint="eastAsia" w:ascii="宋体" w:hAnsi="宋体" w:eastAsia="宋体" w:cs="宋体"/>
      <w:b/>
      <w:bCs/>
      <w:kern w:val="0"/>
      <w:sz w:val="36"/>
      <w:szCs w:val="36"/>
      <w:lang w:val="en-US" w:eastAsia="zh-CN" w:bidi="ar"/>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3">
    <w:name w:val="table of authorities"/>
    <w:basedOn w:val="1"/>
    <w:next w:val="1"/>
    <w:autoRedefine/>
    <w:qFormat/>
    <w:uiPriority w:val="0"/>
    <w:pPr>
      <w:ind w:left="200" w:leftChars="200"/>
    </w:pPr>
  </w:style>
  <w:style w:type="paragraph" w:styleId="4">
    <w:name w:val="Body Text"/>
    <w:basedOn w:val="1"/>
    <w:next w:val="1"/>
    <w:autoRedefine/>
    <w:qFormat/>
    <w:uiPriority w:val="0"/>
    <w:pPr>
      <w:ind w:firstLine="880" w:firstLineChars="200"/>
    </w:pPr>
    <w:rPr>
      <w:rFonts w:ascii="楷体_GB2312" w:hAnsi="楷体_GB2312" w:eastAsia="楷体_GB2312"/>
      <w:sz w:val="32"/>
      <w:szCs w:val="20"/>
    </w:rPr>
  </w:style>
  <w:style w:type="paragraph" w:styleId="5">
    <w:name w:val="footer"/>
    <w:basedOn w:val="1"/>
    <w:link w:val="12"/>
    <w:autoRedefine/>
    <w:unhideWhenUsed/>
    <w:qFormat/>
    <w:uiPriority w:val="99"/>
    <w:pPr>
      <w:tabs>
        <w:tab w:val="center" w:pos="4153"/>
        <w:tab w:val="right" w:pos="8306"/>
      </w:tabs>
      <w:snapToGrid w:val="0"/>
      <w:jc w:val="left"/>
    </w:pPr>
    <w:rPr>
      <w:sz w:val="18"/>
      <w:szCs w:val="18"/>
    </w:rPr>
  </w:style>
  <w:style w:type="paragraph" w:styleId="6">
    <w:name w:val="header"/>
    <w:basedOn w:val="1"/>
    <w:link w:val="11"/>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toc 4"/>
    <w:basedOn w:val="1"/>
    <w:next w:val="1"/>
    <w:autoRedefine/>
    <w:qFormat/>
    <w:uiPriority w:val="0"/>
    <w:pPr>
      <w:ind w:left="1260"/>
    </w:pPr>
  </w:style>
  <w:style w:type="paragraph" w:customStyle="1" w:styleId="10">
    <w:name w:val="样式1"/>
    <w:basedOn w:val="1"/>
    <w:next w:val="1"/>
    <w:autoRedefine/>
    <w:qFormat/>
    <w:uiPriority w:val="0"/>
    <w:pPr>
      <w:ind w:firstLine="602" w:firstLineChars="200"/>
    </w:pPr>
    <w:rPr>
      <w:rFonts w:ascii="仿宋" w:hAnsi="仿宋" w:eastAsia="仿宋"/>
      <w:sz w:val="30"/>
      <w:szCs w:val="30"/>
    </w:rPr>
  </w:style>
  <w:style w:type="character" w:customStyle="1" w:styleId="11">
    <w:name w:val="页眉 字符"/>
    <w:basedOn w:val="9"/>
    <w:link w:val="6"/>
    <w:autoRedefine/>
    <w:qFormat/>
    <w:uiPriority w:val="99"/>
    <w:rPr>
      <w:sz w:val="18"/>
      <w:szCs w:val="18"/>
    </w:rPr>
  </w:style>
  <w:style w:type="character" w:customStyle="1" w:styleId="12">
    <w:name w:val="页脚 字符"/>
    <w:basedOn w:val="9"/>
    <w:link w:val="5"/>
    <w:autoRedefine/>
    <w:qFormat/>
    <w:uiPriority w:val="99"/>
    <w:rPr>
      <w:sz w:val="18"/>
      <w:szCs w:val="18"/>
    </w:rPr>
  </w:style>
  <w:style w:type="character" w:customStyle="1" w:styleId="13">
    <w:name w:val="bjh-p"/>
    <w:autoRedefine/>
    <w:qFormat/>
    <w:uiPriority w:val="0"/>
  </w:style>
  <w:style w:type="paragraph" w:customStyle="1" w:styleId="14">
    <w:name w:val="List Paragraph"/>
    <w:basedOn w:val="1"/>
    <w:autoRedefine/>
    <w:qFormat/>
    <w:uiPriority w:val="0"/>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uppressAutoHyphens w:val="0"/>
      <w:kinsoku/>
      <w:wordWrap/>
      <w:overflowPunct/>
      <w:topLinePunct w:val="0"/>
      <w:autoSpaceDE/>
      <w:autoSpaceDN/>
      <w:bidi w:val="0"/>
      <w:adjustRightInd/>
      <w:snapToGrid/>
      <w:spacing w:before="0" w:beforeAutospacing="0" w:after="0" w:afterAutospacing="0" w:line="240" w:lineRule="auto"/>
      <w:ind w:left="0" w:right="0" w:firstLine="200" w:firstLineChars="200"/>
      <w:jc w:val="both"/>
      <w:textAlignment w:val="auto"/>
      <w:outlineLvl w:val="9"/>
    </w:pPr>
    <w:rPr>
      <w:rFonts w:ascii="Calibri" w:hAnsi="Calibri" w:eastAsia="宋体"/>
      <w:snapToGrid/>
      <w:color w:val="auto"/>
      <w:spacing w:val="0"/>
      <w:w w:val="100"/>
      <w:kern w:val="2"/>
      <w:position w:val="0"/>
      <w:sz w:val="21"/>
      <w:szCs w:val="21"/>
      <w:u w:val="none" w:color="auto"/>
      <w:vertAlign w:val="baseline"/>
      <w:lang w:val="en-US" w:eastAsia="zh-CN"/>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80B904D-027D-43D1-B6E8-9EB3F9FED20F}">
  <ds:schemaRefs/>
</ds:datastoreItem>
</file>

<file path=docProps/app.xml><?xml version="1.0" encoding="utf-8"?>
<Properties xmlns="http://schemas.openxmlformats.org/officeDocument/2006/extended-properties" xmlns:vt="http://schemas.openxmlformats.org/officeDocument/2006/docPropsVTypes">
  <Template>Normal</Template>
  <Pages>7</Pages>
  <Words>568</Words>
  <Characters>3241</Characters>
  <Lines>27</Lines>
  <Paragraphs>7</Paragraphs>
  <TotalTime>0</TotalTime>
  <ScaleCrop>false</ScaleCrop>
  <LinksUpToDate>false</LinksUpToDate>
  <CharactersWithSpaces>3802</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2021-12-29T02:42:00Z</dcterms:created>
  <dc:creator>admin</dc:creator>
  <cp:lastModifiedBy>博鸿</cp:lastModifiedBy>
  <cp:lastPrinted>2024-01-16T10:44:00Z</cp:lastPrinted>
  <dcterms:modified xsi:type="dcterms:W3CDTF">2024-01-17T02:21:23Z</dcterms:modified>
  <cp:revision>105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E3C8CF310AD9452A8690F6B6C9ACA453_13</vt:lpwstr>
  </property>
</Properties>
</file>