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88A8F3C">
      <w:pPr>
        <w:spacing w:line="360" w:lineRule="auto"/>
        <w:jc w:val="center"/>
        <w:rPr>
          <w:rFonts w:ascii="Times New Roman" w:hAnsi="Times New Roman" w:eastAsia="宋体" w:cs="Times New Roman"/>
          <w:b/>
          <w:color w:val="000000"/>
          <w:sz w:val="28"/>
          <w:szCs w:val="28"/>
        </w:rPr>
      </w:pPr>
      <w:r>
        <w:rPr>
          <w:rFonts w:ascii="Times New Roman" w:hAnsi="Times New Roman" w:eastAsia="宋体" w:cs="Times New Roman"/>
          <w:b/>
          <w:bCs/>
          <w:sz w:val="28"/>
          <w:szCs w:val="28"/>
        </w:rPr>
        <w:t>凤尾草配方颗粒</w:t>
      </w:r>
    </w:p>
    <w:p w14:paraId="34710ADD">
      <w:pPr>
        <w:spacing w:line="360" w:lineRule="auto"/>
        <w:jc w:val="center"/>
        <w:rPr>
          <w:rFonts w:ascii="Times New Roman" w:hAnsi="Times New Roman" w:eastAsia="宋体" w:cs="Times New Roman"/>
          <w:b/>
          <w:bCs/>
          <w:sz w:val="28"/>
          <w:szCs w:val="28"/>
        </w:rPr>
      </w:pPr>
      <w:r>
        <w:rPr>
          <w:rFonts w:ascii="Times New Roman" w:hAnsi="Times New Roman" w:eastAsia="宋体" w:cs="Times New Roman"/>
          <w:b/>
          <w:sz w:val="28"/>
          <w:szCs w:val="28"/>
        </w:rPr>
        <w:t>Fengweicao</w:t>
      </w:r>
      <w:r>
        <w:rPr>
          <w:rFonts w:ascii="Times New Roman" w:hAnsi="Times New Roman" w:eastAsia="宋体" w:cs="Times New Roman"/>
          <w:b/>
          <w:bCs/>
          <w:sz w:val="28"/>
          <w:szCs w:val="28"/>
        </w:rPr>
        <w:t xml:space="preserve">  Peifangkeli</w:t>
      </w:r>
    </w:p>
    <w:p w14:paraId="25D2D6D3">
      <w:pPr>
        <w:spacing w:line="360" w:lineRule="auto"/>
        <w:ind w:firstLine="501" w:firstLineChars="208"/>
        <w:rPr>
          <w:rFonts w:ascii="Times New Roman" w:hAnsi="Times New Roman" w:eastAsia="宋体" w:cs="Times New Roman"/>
          <w:bCs/>
          <w:sz w:val="24"/>
          <w:szCs w:val="24"/>
        </w:rPr>
      </w:pPr>
      <w:r>
        <w:rPr>
          <w:rFonts w:ascii="Times New Roman" w:hAnsi="Times New Roman" w:eastAsia="宋体" w:cs="Times New Roman"/>
          <w:b/>
          <w:sz w:val="24"/>
          <w:szCs w:val="24"/>
        </w:rPr>
        <w:t xml:space="preserve">【来源】 </w:t>
      </w:r>
      <w:r>
        <w:rPr>
          <w:rFonts w:hint="eastAsia" w:ascii="Times New Roman" w:hAnsi="Times New Roman" w:eastAsia="宋体" w:cs="Times New Roman"/>
          <w:b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eastAsia="宋体" w:cs="Times New Roman"/>
          <w:bCs/>
          <w:sz w:val="24"/>
          <w:szCs w:val="24"/>
        </w:rPr>
        <w:t>本品为凤尾蕨科植物井栏边草</w:t>
      </w:r>
      <w:r>
        <w:rPr>
          <w:rFonts w:ascii="Times New Roman" w:hAnsi="Times New Roman" w:eastAsia="宋体" w:cs="Times New Roman"/>
          <w:bCs/>
          <w:i/>
          <w:iCs/>
          <w:sz w:val="24"/>
          <w:szCs w:val="24"/>
        </w:rPr>
        <w:t xml:space="preserve">Pteris multifida </w:t>
      </w:r>
      <w:r>
        <w:rPr>
          <w:rFonts w:ascii="Times New Roman" w:hAnsi="Times New Roman" w:eastAsia="宋体" w:cs="Times New Roman"/>
          <w:bCs/>
          <w:sz w:val="24"/>
          <w:szCs w:val="24"/>
        </w:rPr>
        <w:t>Poir. 的干燥全草经炮制并按标准汤剂的主要质量指标加工制成的配</w:t>
      </w:r>
    </w:p>
    <w:p w14:paraId="437A2E26">
      <w:pPr>
        <w:spacing w:line="360" w:lineRule="auto"/>
        <w:ind w:firstLine="501" w:firstLineChars="208"/>
        <w:rPr>
          <w:rFonts w:hint="eastAsia" w:ascii="Times New Roman" w:hAnsi="Times New Roman" w:eastAsia="宋体" w:cs="Times New Roman"/>
          <w:bCs/>
          <w:sz w:val="24"/>
          <w:szCs w:val="24"/>
        </w:rPr>
      </w:pPr>
      <w:r>
        <w:rPr>
          <w:rFonts w:hint="eastAsia" w:ascii="Times New Roman" w:hAnsi="Times New Roman" w:eastAsia="宋体" w:cs="Times New Roman"/>
          <w:b/>
          <w:bCs/>
          <w:sz w:val="24"/>
          <w:szCs w:val="24"/>
        </w:rPr>
        <w:t>【生产用饮片的炮制】</w:t>
      </w:r>
      <w:r>
        <w:rPr>
          <w:rFonts w:ascii="Times New Roman" w:hAnsi="Times New Roman" w:eastAsia="宋体" w:cs="Times New Roman"/>
          <w:bCs/>
          <w:sz w:val="24"/>
          <w:szCs w:val="24"/>
        </w:rPr>
        <w:t xml:space="preserve"> </w:t>
      </w:r>
      <w:r>
        <w:rPr>
          <w:rFonts w:hint="eastAsia" w:ascii="Times New Roman" w:hAnsi="Times New Roman" w:eastAsia="宋体" w:cs="Times New Roman"/>
          <w:bCs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eastAsia="宋体" w:cs="Times New Roman"/>
          <w:bCs/>
          <w:sz w:val="24"/>
          <w:szCs w:val="24"/>
        </w:rPr>
        <w:t>应按照《中华人民共和国卫生部药品标准》中药材</w:t>
      </w:r>
      <w:r>
        <w:rPr>
          <w:rFonts w:hint="eastAsia" w:ascii="宋体" w:hAnsi="宋体" w:eastAsia="宋体" w:cs="Times New Roman"/>
          <w:bCs/>
          <w:sz w:val="24"/>
          <w:szCs w:val="24"/>
        </w:rPr>
        <w:t>（第一册）</w:t>
      </w:r>
      <w:r>
        <w:rPr>
          <w:rFonts w:ascii="宋体" w:hAnsi="宋体" w:eastAsia="宋体" w:cs="Times New Roman"/>
          <w:bCs/>
          <w:sz w:val="24"/>
          <w:szCs w:val="24"/>
        </w:rPr>
        <w:t>“</w:t>
      </w:r>
      <w:r>
        <w:rPr>
          <w:rFonts w:ascii="Times New Roman" w:hAnsi="Times New Roman" w:eastAsia="宋体" w:cs="Times New Roman"/>
          <w:bCs/>
          <w:sz w:val="24"/>
          <w:szCs w:val="24"/>
        </w:rPr>
        <w:t>凤尾草</w:t>
      </w:r>
      <w:r>
        <w:rPr>
          <w:rFonts w:ascii="宋体" w:hAnsi="宋体" w:eastAsia="宋体" w:cs="Times New Roman"/>
          <w:bCs/>
          <w:sz w:val="24"/>
          <w:szCs w:val="24"/>
        </w:rPr>
        <w:t>”</w:t>
      </w:r>
      <w:r>
        <w:rPr>
          <w:rFonts w:ascii="Times New Roman" w:hAnsi="Times New Roman" w:eastAsia="宋体" w:cs="Times New Roman"/>
          <w:bCs/>
          <w:sz w:val="24"/>
          <w:szCs w:val="24"/>
        </w:rPr>
        <w:t>项下规定的方法炮制。</w:t>
      </w:r>
    </w:p>
    <w:p w14:paraId="75B6A1E2">
      <w:pPr>
        <w:spacing w:line="360" w:lineRule="auto"/>
        <w:ind w:firstLine="501" w:firstLineChars="208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b/>
          <w:sz w:val="24"/>
          <w:szCs w:val="24"/>
        </w:rPr>
        <w:t>【制法】</w:t>
      </w:r>
      <w:r>
        <w:rPr>
          <w:rFonts w:ascii="Times New Roman" w:hAnsi="Times New Roman" w:eastAsia="宋体" w:cs="Times New Roman"/>
          <w:sz w:val="24"/>
          <w:szCs w:val="24"/>
        </w:rPr>
        <w:t xml:space="preserve"> 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eastAsia="宋体" w:cs="Times New Roman"/>
          <w:sz w:val="24"/>
          <w:szCs w:val="24"/>
        </w:rPr>
        <w:t>取凤尾草饮片6000g，加水煎煮，滤过，滤液浓缩成清膏（出膏率为8.5~16.7%），加入辅料适量，干燥（或干燥，粉碎），再加入辅料适量，混匀，制粒，制成1000g，即得。</w:t>
      </w:r>
    </w:p>
    <w:p w14:paraId="616973E4">
      <w:pPr>
        <w:spacing w:line="360" w:lineRule="auto"/>
        <w:ind w:firstLine="501" w:firstLineChars="208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b/>
          <w:sz w:val="24"/>
          <w:szCs w:val="24"/>
        </w:rPr>
        <w:t>【性状】</w:t>
      </w:r>
      <w:r>
        <w:rPr>
          <w:rFonts w:hint="eastAsia" w:ascii="Times New Roman" w:hAnsi="Times New Roman" w:eastAsia="宋体" w:cs="Times New Roman"/>
          <w:b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eastAsia="宋体" w:cs="Times New Roman"/>
          <w:sz w:val="24"/>
          <w:szCs w:val="24"/>
        </w:rPr>
        <w:t xml:space="preserve"> 本品为浅棕褐色至黑褐色的颗粒；气微，味微苦、涩。</w:t>
      </w:r>
    </w:p>
    <w:p w14:paraId="142E2569">
      <w:pPr>
        <w:spacing w:line="360" w:lineRule="auto"/>
        <w:ind w:firstLine="501" w:firstLineChars="208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b/>
          <w:sz w:val="24"/>
          <w:szCs w:val="24"/>
        </w:rPr>
        <w:t>【鉴别】</w:t>
      </w:r>
      <w:r>
        <w:rPr>
          <w:rFonts w:ascii="Times New Roman" w:hAnsi="Times New Roman" w:eastAsia="宋体" w:cs="Times New Roman"/>
          <w:sz w:val="24"/>
          <w:szCs w:val="24"/>
        </w:rPr>
        <w:t xml:space="preserve"> 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eastAsia="宋体" w:cs="Times New Roman"/>
          <w:sz w:val="24"/>
          <w:szCs w:val="24"/>
        </w:rPr>
        <w:t>取本品适量，研细，取1g，加甲醇20ml，加热回流1小时，滤过，滤液蒸干，残渣加水20ml使溶解，用乙酸乙酯振揺提取2次，每次20ml，合并乙酸乙酯液，蒸干，残渣加甲醇1ml使溶解，作为供试品溶液。另取凤尾草对照药材1g，加水50ml，煎煮30分钟，滤过，滤液蒸干，残渣加甲醇20ml，同法制成对照药材溶液。照薄层色谱法（中国药典 通则0502）试验，吸取上述两种溶液各10μl，分别点于同一硅胶G薄层板上，以环己烷-乙酸乙酯-丙酮（5︰1︰1）为展开剂，展开，取出，晾干，喷以5%香草醛硫酸溶液，在105℃加热至斑点显色清晰。供试品色谱中，在与对照药材色谱相应的位置上，显相同颜色的斑点。</w:t>
      </w:r>
    </w:p>
    <w:p w14:paraId="353E90A9">
      <w:pPr>
        <w:spacing w:line="360" w:lineRule="auto"/>
        <w:ind w:firstLine="501" w:firstLineChars="208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b/>
          <w:sz w:val="24"/>
          <w:szCs w:val="24"/>
        </w:rPr>
        <w:t>【特征图谱】</w:t>
      </w:r>
      <w:r>
        <w:rPr>
          <w:rFonts w:hint="eastAsia" w:ascii="Times New Roman" w:hAnsi="Times New Roman" w:eastAsia="宋体" w:cs="Times New Roman"/>
          <w:b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eastAsia="宋体" w:cs="Times New Roman"/>
          <w:b/>
          <w:sz w:val="24"/>
          <w:szCs w:val="24"/>
        </w:rPr>
        <w:t xml:space="preserve"> </w:t>
      </w:r>
      <w:r>
        <w:rPr>
          <w:rFonts w:ascii="Times New Roman" w:hAnsi="Times New Roman" w:eastAsia="宋体" w:cs="Times New Roman"/>
          <w:sz w:val="24"/>
          <w:szCs w:val="24"/>
        </w:rPr>
        <w:t>照高效液相色谱法（中国药典 通则0512）测定。</w:t>
      </w:r>
    </w:p>
    <w:p w14:paraId="7DB6DEB0">
      <w:pPr>
        <w:spacing w:line="360" w:lineRule="auto"/>
        <w:ind w:firstLine="472" w:firstLineChars="196"/>
        <w:rPr>
          <w:rFonts w:ascii="Times New Roman" w:hAnsi="Times New Roman" w:eastAsia="宋体" w:cs="Times New Roman"/>
          <w:color w:val="000000"/>
          <w:sz w:val="24"/>
          <w:szCs w:val="24"/>
        </w:rPr>
      </w:pPr>
      <w:r>
        <w:rPr>
          <w:rFonts w:ascii="Times New Roman" w:hAnsi="Times New Roman" w:eastAsia="宋体" w:cs="Times New Roman"/>
          <w:b/>
          <w:bCs/>
          <w:color w:val="000000"/>
          <w:sz w:val="24"/>
          <w:szCs w:val="24"/>
        </w:rPr>
        <w:t xml:space="preserve">色谱条件与系统适用性试验 </w:t>
      </w:r>
      <w:r>
        <w:rPr>
          <w:rFonts w:ascii="Times New Roman" w:hAnsi="Times New Roman" w:eastAsia="宋体" w:cs="Times New Roman"/>
          <w:color w:val="000000"/>
          <w:sz w:val="24"/>
          <w:szCs w:val="24"/>
        </w:rPr>
        <w:t xml:space="preserve"> 以十八烷基硅烷键合硅胶为填充剂；以乙腈为流动相A，以0.1%磷酸溶液为流动相B，按下表梯度洗脱；流速为0.3ml/</w:t>
      </w:r>
      <w:r>
        <w:rPr>
          <w:rFonts w:hint="eastAsia" w:ascii="Times New Roman" w:hAnsi="Times New Roman" w:eastAsia="宋体" w:cs="Times New Roman"/>
          <w:color w:val="000000"/>
          <w:sz w:val="24"/>
          <w:szCs w:val="24"/>
        </w:rPr>
        <w:t>min</w:t>
      </w:r>
      <w:r>
        <w:rPr>
          <w:rFonts w:ascii="Times New Roman" w:hAnsi="Times New Roman" w:eastAsia="宋体" w:cs="Times New Roman"/>
          <w:color w:val="000000"/>
          <w:sz w:val="24"/>
          <w:szCs w:val="24"/>
        </w:rPr>
        <w:t>；柱温为30℃；检测波长为350nm。理论板数按野漆树苷峰计应不低于3000。</w:t>
      </w:r>
    </w:p>
    <w:tbl>
      <w:tblPr>
        <w:tblStyle w:val="9"/>
        <w:tblW w:w="5000" w:type="pct"/>
        <w:jc w:val="center"/>
        <w:tblBorders>
          <w:top w:val="single" w:color="000000" w:sz="12" w:space="0"/>
          <w:left w:val="none" w:color="auto" w:sz="0" w:space="0"/>
          <w:bottom w:val="single" w:color="000000" w:sz="12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1"/>
        <w:gridCol w:w="2841"/>
        <w:gridCol w:w="2840"/>
      </w:tblGrid>
      <w:tr w14:paraId="779EF2B6">
        <w:tblPrEx>
          <w:tblBorders>
            <w:top w:val="single" w:color="000000" w:sz="12" w:space="0"/>
            <w:left w:val="none" w:color="auto" w:sz="0" w:space="0"/>
            <w:bottom w:val="single" w:color="000000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7" w:type="pct"/>
            <w:tcBorders>
              <w:top w:val="single" w:color="000000" w:sz="12" w:space="0"/>
              <w:bottom w:val="single" w:color="000000" w:sz="8" w:space="0"/>
            </w:tcBorders>
            <w:shd w:val="clear" w:color="auto" w:fill="auto"/>
          </w:tcPr>
          <w:p w14:paraId="0198805F">
            <w:pPr>
              <w:jc w:val="center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  <w:t>时间（分钟）</w:t>
            </w:r>
          </w:p>
        </w:tc>
        <w:tc>
          <w:tcPr>
            <w:tcW w:w="1667" w:type="pct"/>
            <w:tcBorders>
              <w:top w:val="single" w:color="000000" w:sz="12" w:space="0"/>
              <w:bottom w:val="single" w:color="000000" w:sz="8" w:space="0"/>
            </w:tcBorders>
            <w:shd w:val="clear" w:color="auto" w:fill="auto"/>
          </w:tcPr>
          <w:p w14:paraId="5AFFE7EC">
            <w:pPr>
              <w:jc w:val="center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  <w:t>流动相A（%）</w:t>
            </w:r>
          </w:p>
        </w:tc>
        <w:tc>
          <w:tcPr>
            <w:tcW w:w="1666" w:type="pct"/>
            <w:tcBorders>
              <w:top w:val="single" w:color="000000" w:sz="12" w:space="0"/>
              <w:bottom w:val="single" w:color="000000" w:sz="8" w:space="0"/>
            </w:tcBorders>
            <w:shd w:val="clear" w:color="auto" w:fill="auto"/>
          </w:tcPr>
          <w:p w14:paraId="115DEFD0">
            <w:pPr>
              <w:jc w:val="center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  <w:t>流动相B（%）</w:t>
            </w:r>
          </w:p>
        </w:tc>
      </w:tr>
      <w:tr w14:paraId="65F333FE">
        <w:tblPrEx>
          <w:tblBorders>
            <w:top w:val="single" w:color="000000" w:sz="12" w:space="0"/>
            <w:left w:val="none" w:color="auto" w:sz="0" w:space="0"/>
            <w:bottom w:val="single" w:color="000000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7" w:type="pct"/>
            <w:tcBorders>
              <w:top w:val="single" w:color="000000" w:sz="8" w:space="0"/>
            </w:tcBorders>
            <w:shd w:val="clear" w:color="auto" w:fill="auto"/>
          </w:tcPr>
          <w:p w14:paraId="5C67791C">
            <w:pPr>
              <w:jc w:val="center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67" w:type="pct"/>
            <w:tcBorders>
              <w:top w:val="single" w:color="000000" w:sz="8" w:space="0"/>
            </w:tcBorders>
            <w:shd w:val="clear" w:color="auto" w:fill="auto"/>
          </w:tcPr>
          <w:p w14:paraId="0B061FBE">
            <w:pPr>
              <w:jc w:val="center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666" w:type="pct"/>
            <w:tcBorders>
              <w:top w:val="single" w:color="000000" w:sz="8" w:space="0"/>
            </w:tcBorders>
            <w:shd w:val="clear" w:color="auto" w:fill="auto"/>
          </w:tcPr>
          <w:p w14:paraId="7F8DE8F6">
            <w:pPr>
              <w:jc w:val="center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4"/>
                <w:szCs w:val="24"/>
              </w:rPr>
              <w:t>8</w:t>
            </w:r>
            <w:r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  <w:t>5</w:t>
            </w:r>
          </w:p>
        </w:tc>
      </w:tr>
      <w:tr w14:paraId="74EE2BBE">
        <w:tblPrEx>
          <w:tblBorders>
            <w:top w:val="single" w:color="000000" w:sz="12" w:space="0"/>
            <w:left w:val="none" w:color="auto" w:sz="0" w:space="0"/>
            <w:bottom w:val="single" w:color="000000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7" w:type="pct"/>
            <w:shd w:val="clear" w:color="auto" w:fill="auto"/>
          </w:tcPr>
          <w:p w14:paraId="3B5D7B45">
            <w:pPr>
              <w:jc w:val="center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67" w:type="pct"/>
            <w:shd w:val="clear" w:color="auto" w:fill="auto"/>
          </w:tcPr>
          <w:p w14:paraId="71B45445">
            <w:pPr>
              <w:jc w:val="center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666" w:type="pct"/>
            <w:shd w:val="clear" w:color="auto" w:fill="auto"/>
          </w:tcPr>
          <w:p w14:paraId="796F5FC3">
            <w:pPr>
              <w:jc w:val="center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4"/>
                <w:szCs w:val="24"/>
              </w:rPr>
              <w:t>8</w:t>
            </w:r>
            <w:r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  <w:t>5</w:t>
            </w:r>
          </w:p>
        </w:tc>
      </w:tr>
      <w:tr w14:paraId="3947EBCF">
        <w:tblPrEx>
          <w:tblBorders>
            <w:top w:val="single" w:color="000000" w:sz="12" w:space="0"/>
            <w:left w:val="none" w:color="auto" w:sz="0" w:space="0"/>
            <w:bottom w:val="single" w:color="000000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7" w:type="pct"/>
            <w:shd w:val="clear" w:color="auto" w:fill="auto"/>
          </w:tcPr>
          <w:p w14:paraId="4EBE69F7">
            <w:pPr>
              <w:jc w:val="center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667" w:type="pct"/>
            <w:shd w:val="clear" w:color="auto" w:fill="auto"/>
          </w:tcPr>
          <w:p w14:paraId="7A75F774">
            <w:pPr>
              <w:jc w:val="center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666" w:type="pct"/>
            <w:shd w:val="clear" w:color="auto" w:fill="auto"/>
          </w:tcPr>
          <w:p w14:paraId="2020B8BD">
            <w:pPr>
              <w:jc w:val="center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  <w:t>8</w:t>
            </w:r>
          </w:p>
        </w:tc>
      </w:tr>
      <w:tr w14:paraId="7CB1063F">
        <w:tblPrEx>
          <w:tblBorders>
            <w:top w:val="single" w:color="000000" w:sz="12" w:space="0"/>
            <w:left w:val="none" w:color="auto" w:sz="0" w:space="0"/>
            <w:bottom w:val="single" w:color="000000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7" w:type="pct"/>
            <w:shd w:val="clear" w:color="auto" w:fill="auto"/>
          </w:tcPr>
          <w:p w14:paraId="79DC939A">
            <w:pPr>
              <w:jc w:val="center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667" w:type="pct"/>
            <w:shd w:val="clear" w:color="auto" w:fill="auto"/>
          </w:tcPr>
          <w:p w14:paraId="4DE9699C">
            <w:pPr>
              <w:jc w:val="center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666" w:type="pct"/>
            <w:shd w:val="clear" w:color="auto" w:fill="auto"/>
          </w:tcPr>
          <w:p w14:paraId="2957CCF2">
            <w:pPr>
              <w:jc w:val="center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  <w:t>2</w:t>
            </w:r>
          </w:p>
        </w:tc>
      </w:tr>
      <w:tr w14:paraId="34C70816">
        <w:tblPrEx>
          <w:tblBorders>
            <w:top w:val="single" w:color="000000" w:sz="12" w:space="0"/>
            <w:left w:val="none" w:color="auto" w:sz="0" w:space="0"/>
            <w:bottom w:val="single" w:color="000000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7" w:type="pct"/>
            <w:shd w:val="clear" w:color="auto" w:fill="auto"/>
          </w:tcPr>
          <w:p w14:paraId="6663F112">
            <w:pPr>
              <w:jc w:val="center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  <w:t xml:space="preserve">0 </w:t>
            </w:r>
          </w:p>
        </w:tc>
        <w:tc>
          <w:tcPr>
            <w:tcW w:w="1667" w:type="pct"/>
            <w:shd w:val="clear" w:color="auto" w:fill="auto"/>
          </w:tcPr>
          <w:p w14:paraId="4FF949AF">
            <w:pPr>
              <w:jc w:val="center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66" w:type="pct"/>
            <w:shd w:val="clear" w:color="auto" w:fill="auto"/>
          </w:tcPr>
          <w:p w14:paraId="4273738B">
            <w:pPr>
              <w:jc w:val="center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  <w:t>0</w:t>
            </w:r>
          </w:p>
        </w:tc>
      </w:tr>
    </w:tbl>
    <w:p w14:paraId="7C8C7F4E">
      <w:pPr>
        <w:spacing w:line="360" w:lineRule="auto"/>
        <w:ind w:firstLine="482" w:firstLineChars="200"/>
        <w:rPr>
          <w:rFonts w:ascii="Times New Roman" w:hAnsi="Times New Roman" w:eastAsia="宋体" w:cs="Times New Roman"/>
          <w:color w:val="000000"/>
          <w:sz w:val="24"/>
          <w:szCs w:val="24"/>
        </w:rPr>
      </w:pPr>
      <w:r>
        <w:rPr>
          <w:rFonts w:ascii="Times New Roman" w:hAnsi="Times New Roman" w:eastAsia="宋体" w:cs="Times New Roman"/>
          <w:b/>
          <w:color w:val="000000"/>
          <w:sz w:val="24"/>
          <w:szCs w:val="24"/>
        </w:rPr>
        <w:t xml:space="preserve">参照物溶液的制备  </w:t>
      </w:r>
      <w:r>
        <w:rPr>
          <w:rFonts w:ascii="Times New Roman" w:hAnsi="Times New Roman" w:eastAsia="宋体" w:cs="Times New Roman"/>
          <w:color w:val="000000"/>
          <w:sz w:val="24"/>
          <w:szCs w:val="24"/>
        </w:rPr>
        <w:t>取凤尾草对照药材0.5g，加70%甲醇25ml，超声处理（功率300W，频率40kHz）30分钟，放冷，摇匀，滤过，取续滤液，作为对照药材参照物溶液。另取野漆树苷对照品、木犀草素对照品、芹菜素对照品适量，加甲醇制成每1ml各含80μg的混合溶液，作为对照品参照物溶液。</w:t>
      </w:r>
    </w:p>
    <w:p w14:paraId="4B69997B">
      <w:pPr>
        <w:spacing w:line="360" w:lineRule="auto"/>
        <w:ind w:firstLine="472" w:firstLineChars="196"/>
        <w:rPr>
          <w:rFonts w:ascii="Times New Roman" w:hAnsi="Times New Roman" w:eastAsia="宋体" w:cs="Times New Roman"/>
          <w:color w:val="000000"/>
          <w:sz w:val="24"/>
          <w:szCs w:val="24"/>
        </w:rPr>
      </w:pPr>
      <w:r>
        <w:rPr>
          <w:rFonts w:ascii="Times New Roman" w:hAnsi="Times New Roman" w:eastAsia="宋体" w:cs="Times New Roman"/>
          <w:b/>
          <w:color w:val="000000"/>
          <w:sz w:val="24"/>
          <w:szCs w:val="24"/>
        </w:rPr>
        <w:t xml:space="preserve">供试品溶液的制备 </w:t>
      </w:r>
      <w:r>
        <w:rPr>
          <w:rFonts w:ascii="Times New Roman" w:hAnsi="Times New Roman" w:eastAsia="宋体" w:cs="Times New Roman"/>
          <w:color w:val="000000"/>
          <w:sz w:val="24"/>
          <w:szCs w:val="24"/>
        </w:rPr>
        <w:t xml:space="preserve"> 取本品适量，研细，取0.2g，加70%甲醇25ml，超声处理（功率300W，频率40kHz）30分钟，放冷，摇匀，滤过，取续滤液，即得。</w:t>
      </w:r>
    </w:p>
    <w:p w14:paraId="5F50C134">
      <w:pPr>
        <w:spacing w:line="360" w:lineRule="auto"/>
        <w:ind w:firstLine="482" w:firstLineChars="200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b/>
          <w:sz w:val="24"/>
          <w:szCs w:val="24"/>
        </w:rPr>
        <w:t xml:space="preserve">测定法  </w:t>
      </w:r>
      <w:r>
        <w:rPr>
          <w:rFonts w:ascii="Times New Roman" w:hAnsi="Times New Roman" w:eastAsia="宋体" w:cs="Times New Roman"/>
          <w:sz w:val="24"/>
          <w:szCs w:val="24"/>
        </w:rPr>
        <w:t>分别精密吸取参照物溶液与供试品溶液各1μl，注入液相色谱仪，测定，即得。</w:t>
      </w:r>
    </w:p>
    <w:p w14:paraId="70AA9E75">
      <w:pPr>
        <w:spacing w:line="360" w:lineRule="auto"/>
        <w:ind w:firstLine="480" w:firstLineChars="200"/>
        <w:rPr>
          <w:rFonts w:ascii="Times New Roman" w:hAnsi="Times New Roman" w:eastAsia="宋体" w:cs="Times New Roman"/>
          <w:color w:val="000000"/>
          <w:sz w:val="24"/>
          <w:szCs w:val="24"/>
        </w:rPr>
      </w:pPr>
      <w:r>
        <w:rPr>
          <w:rFonts w:ascii="Times New Roman" w:hAnsi="Times New Roman" w:eastAsia="宋体" w:cs="Times New Roman"/>
          <w:color w:val="000000"/>
          <w:sz w:val="24"/>
          <w:szCs w:val="24"/>
        </w:rPr>
        <w:t>供试品色谱中应呈现</w:t>
      </w:r>
      <w:r>
        <w:rPr>
          <w:rFonts w:hint="eastAsia" w:ascii="Times New Roman" w:hAnsi="Times New Roman" w:eastAsia="宋体" w:cs="Times New Roman"/>
          <w:color w:val="000000"/>
          <w:sz w:val="24"/>
          <w:szCs w:val="24"/>
        </w:rPr>
        <w:t>与</w:t>
      </w:r>
      <w:r>
        <w:rPr>
          <w:rFonts w:ascii="Times New Roman" w:hAnsi="Times New Roman" w:eastAsia="宋体" w:cs="Times New Roman"/>
          <w:color w:val="000000"/>
          <w:sz w:val="24"/>
          <w:szCs w:val="24"/>
        </w:rPr>
        <w:t>对照药材参照物色谱</w:t>
      </w:r>
      <w:r>
        <w:rPr>
          <w:rFonts w:hint="eastAsia" w:ascii="Times New Roman" w:hAnsi="Times New Roman" w:eastAsia="宋体" w:cs="Times New Roman"/>
          <w:color w:val="000000"/>
          <w:sz w:val="24"/>
          <w:szCs w:val="24"/>
        </w:rPr>
        <w:t>图</w:t>
      </w:r>
      <w:r>
        <w:rPr>
          <w:rFonts w:ascii="Times New Roman" w:hAnsi="Times New Roman" w:eastAsia="宋体" w:cs="Times New Roman"/>
          <w:color w:val="000000"/>
          <w:sz w:val="24"/>
          <w:szCs w:val="24"/>
        </w:rPr>
        <w:t>中7个保留时间相对应</w:t>
      </w:r>
      <w:r>
        <w:rPr>
          <w:rFonts w:hint="eastAsia" w:ascii="Times New Roman" w:hAnsi="Times New Roman" w:eastAsia="宋体" w:cs="Times New Roman"/>
          <w:color w:val="000000"/>
          <w:sz w:val="24"/>
          <w:szCs w:val="24"/>
        </w:rPr>
        <w:t>的</w:t>
      </w:r>
      <w:r>
        <w:rPr>
          <w:rFonts w:ascii="Times New Roman" w:hAnsi="Times New Roman" w:eastAsia="宋体" w:cs="Times New Roman"/>
          <w:color w:val="000000"/>
          <w:sz w:val="24"/>
          <w:szCs w:val="24"/>
        </w:rPr>
        <w:t>特征峰，其中峰5~7应分别与相应对照品参照物峰</w:t>
      </w:r>
      <w:r>
        <w:rPr>
          <w:rFonts w:hint="eastAsia" w:ascii="Times New Roman" w:hAnsi="Times New Roman" w:eastAsia="宋体" w:cs="Times New Roman"/>
          <w:color w:val="000000"/>
          <w:sz w:val="24"/>
          <w:szCs w:val="24"/>
        </w:rPr>
        <w:t>的</w:t>
      </w:r>
      <w:r>
        <w:rPr>
          <w:rFonts w:ascii="Times New Roman" w:hAnsi="Times New Roman" w:eastAsia="宋体" w:cs="Times New Roman"/>
          <w:color w:val="000000"/>
          <w:sz w:val="24"/>
          <w:szCs w:val="24"/>
        </w:rPr>
        <w:t>保留时间相对应。峰1~4与S峰</w:t>
      </w:r>
      <w:r>
        <w:rPr>
          <w:rFonts w:hint="eastAsia" w:ascii="Times New Roman" w:hAnsi="Times New Roman" w:eastAsia="宋体" w:cs="Times New Roman"/>
          <w:color w:val="000000"/>
          <w:sz w:val="24"/>
          <w:szCs w:val="24"/>
        </w:rPr>
        <w:t>（峰5）</w:t>
      </w:r>
      <w:r>
        <w:rPr>
          <w:rFonts w:ascii="Times New Roman" w:hAnsi="Times New Roman" w:eastAsia="宋体" w:cs="Times New Roman"/>
          <w:color w:val="000000"/>
          <w:sz w:val="24"/>
          <w:szCs w:val="24"/>
        </w:rPr>
        <w:t>的相对保留时间</w:t>
      </w:r>
      <w:r>
        <w:rPr>
          <w:rFonts w:hint="eastAsia" w:ascii="Times New Roman" w:hAnsi="Times New Roman" w:eastAsia="宋体" w:cs="Times New Roman"/>
          <w:color w:val="000000"/>
          <w:sz w:val="24"/>
          <w:szCs w:val="24"/>
        </w:rPr>
        <w:t>依次约为</w:t>
      </w:r>
      <w:r>
        <w:rPr>
          <w:rFonts w:ascii="Times New Roman" w:hAnsi="Times New Roman" w:eastAsia="宋体" w:cs="Times New Roman"/>
          <w:color w:val="000000"/>
          <w:sz w:val="24"/>
          <w:szCs w:val="24"/>
        </w:rPr>
        <w:t>：0.62、0.70、0.79、0.98。</w:t>
      </w:r>
    </w:p>
    <w:p w14:paraId="133A2DBE">
      <w:pPr>
        <w:widowControl/>
        <w:spacing w:line="360" w:lineRule="auto"/>
        <w:jc w:val="center"/>
        <w:rPr>
          <w:rFonts w:ascii="Times New Roman" w:hAnsi="Times New Roman" w:eastAsia="宋体" w:cs="Times New Roman"/>
          <w:kern w:val="0"/>
          <w:sz w:val="24"/>
          <w:szCs w:val="24"/>
        </w:rPr>
      </w:pPr>
      <w:r>
        <w:rPr>
          <w:rFonts w:ascii="Times New Roman" w:hAnsi="Times New Roman" w:eastAsia="宋体" w:cs="Times New Roman"/>
        </w:rPr>
        <w:drawing>
          <wp:inline distT="0" distB="0" distL="0" distR="0">
            <wp:extent cx="4685665" cy="1942465"/>
            <wp:effectExtent l="0" t="0" r="635" b="63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685714" cy="19428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DA7934E">
      <w:pPr>
        <w:autoSpaceDE w:val="0"/>
        <w:autoSpaceDN w:val="0"/>
        <w:spacing w:line="240" w:lineRule="auto"/>
        <w:jc w:val="center"/>
        <w:rPr>
          <w:rFonts w:ascii="Times New Roman" w:hAnsi="Times New Roman" w:eastAsia="宋体" w:cs="Times New Roman"/>
          <w:sz w:val="21"/>
          <w:szCs w:val="21"/>
        </w:rPr>
      </w:pPr>
      <w:r>
        <w:rPr>
          <w:rFonts w:ascii="Times New Roman" w:hAnsi="Times New Roman" w:eastAsia="宋体" w:cs="Times New Roman"/>
          <w:sz w:val="21"/>
          <w:szCs w:val="21"/>
        </w:rPr>
        <w:t>对照特征图谱</w:t>
      </w:r>
    </w:p>
    <w:p w14:paraId="4F3AAED3">
      <w:pPr>
        <w:spacing w:line="240" w:lineRule="auto"/>
        <w:jc w:val="center"/>
        <w:rPr>
          <w:rFonts w:ascii="Times New Roman" w:hAnsi="Times New Roman" w:eastAsia="宋体" w:cs="Times New Roman"/>
          <w:sz w:val="21"/>
          <w:szCs w:val="21"/>
        </w:rPr>
      </w:pPr>
      <w:r>
        <w:rPr>
          <w:rFonts w:ascii="Times New Roman" w:hAnsi="Times New Roman" w:eastAsia="宋体" w:cs="Times New Roman"/>
          <w:sz w:val="21"/>
          <w:szCs w:val="21"/>
        </w:rPr>
        <w:t>峰2：忍冬苷</w:t>
      </w:r>
      <w:r>
        <w:rPr>
          <w:rFonts w:hint="eastAsia" w:ascii="Times New Roman" w:hAnsi="Times New Roman" w:eastAsia="宋体" w:cs="Times New Roman"/>
          <w:sz w:val="21"/>
          <w:szCs w:val="21"/>
          <w:lang w:val="en-US" w:eastAsia="zh-CN"/>
        </w:rPr>
        <w:t xml:space="preserve">  </w:t>
      </w:r>
      <w:r>
        <w:rPr>
          <w:rFonts w:ascii="Times New Roman" w:hAnsi="Times New Roman" w:eastAsia="宋体" w:cs="Times New Roman"/>
          <w:sz w:val="21"/>
          <w:szCs w:val="21"/>
        </w:rPr>
        <w:t>峰5（S）：野漆树苷</w:t>
      </w:r>
      <w:r>
        <w:rPr>
          <w:rFonts w:hint="eastAsia" w:ascii="Times New Roman" w:hAnsi="Times New Roman" w:eastAsia="宋体" w:cs="Times New Roman"/>
          <w:sz w:val="21"/>
          <w:szCs w:val="21"/>
          <w:lang w:val="en-US" w:eastAsia="zh-CN"/>
        </w:rPr>
        <w:t xml:space="preserve">  </w:t>
      </w:r>
      <w:r>
        <w:rPr>
          <w:rFonts w:ascii="Times New Roman" w:hAnsi="Times New Roman" w:eastAsia="宋体" w:cs="Times New Roman"/>
          <w:sz w:val="21"/>
          <w:szCs w:val="21"/>
        </w:rPr>
        <w:t>峰6：木犀草素</w:t>
      </w:r>
      <w:r>
        <w:rPr>
          <w:rFonts w:hint="eastAsia" w:ascii="Times New Roman" w:hAnsi="Times New Roman" w:eastAsia="宋体" w:cs="Times New Roman"/>
          <w:sz w:val="21"/>
          <w:szCs w:val="21"/>
          <w:lang w:val="en-US" w:eastAsia="zh-CN"/>
        </w:rPr>
        <w:t xml:space="preserve">  </w:t>
      </w:r>
      <w:r>
        <w:rPr>
          <w:rFonts w:ascii="Times New Roman" w:hAnsi="Times New Roman" w:eastAsia="宋体" w:cs="Times New Roman"/>
          <w:sz w:val="21"/>
          <w:szCs w:val="21"/>
        </w:rPr>
        <w:t>峰7：芹菜素</w:t>
      </w:r>
    </w:p>
    <w:p w14:paraId="5FFF4CBC">
      <w:pPr>
        <w:spacing w:line="240" w:lineRule="auto"/>
        <w:jc w:val="center"/>
        <w:rPr>
          <w:rFonts w:hint="eastAsia" w:ascii="Times New Roman" w:hAnsi="Times New Roman" w:eastAsia="宋体" w:cs="Times New Roman"/>
          <w:sz w:val="21"/>
          <w:szCs w:val="21"/>
          <w:lang w:eastAsia="zh-CN"/>
        </w:rPr>
      </w:pPr>
      <w:r>
        <w:rPr>
          <w:rFonts w:ascii="Times New Roman" w:hAnsi="Times New Roman" w:eastAsia="宋体" w:cs="Times New Roman"/>
          <w:sz w:val="21"/>
          <w:szCs w:val="21"/>
        </w:rPr>
        <w:t>色谱柱：HSS T3 C18</w:t>
      </w:r>
      <w:r>
        <w:rPr>
          <w:rFonts w:hint="eastAsia" w:ascii="Times New Roman" w:hAnsi="Times New Roman" w:eastAsia="宋体" w:cs="Times New Roman"/>
          <w:sz w:val="21"/>
          <w:szCs w:val="21"/>
          <w:lang w:eastAsia="zh-CN"/>
        </w:rPr>
        <w:t>（</w:t>
      </w:r>
      <w:r>
        <w:rPr>
          <w:rFonts w:ascii="Times New Roman" w:hAnsi="Times New Roman" w:eastAsia="宋体" w:cs="Times New Roman"/>
          <w:sz w:val="21"/>
          <w:szCs w:val="21"/>
        </w:rPr>
        <w:t>2.1mm×100mm，1.8μm</w:t>
      </w:r>
      <w:r>
        <w:rPr>
          <w:rFonts w:hint="eastAsia" w:ascii="Times New Roman" w:hAnsi="Times New Roman" w:eastAsia="宋体" w:cs="Times New Roman"/>
          <w:sz w:val="21"/>
          <w:szCs w:val="21"/>
          <w:lang w:eastAsia="zh-CN"/>
        </w:rPr>
        <w:t>）</w:t>
      </w:r>
    </w:p>
    <w:p w14:paraId="61AC7581">
      <w:pPr>
        <w:spacing w:line="360" w:lineRule="auto"/>
        <w:ind w:firstLine="482" w:firstLineChars="200"/>
        <w:rPr>
          <w:rFonts w:ascii="Times New Roman" w:hAnsi="Times New Roman" w:eastAsia="宋体" w:cs="Times New Roman"/>
          <w:bCs/>
          <w:sz w:val="24"/>
          <w:szCs w:val="21"/>
        </w:rPr>
      </w:pPr>
      <w:r>
        <w:rPr>
          <w:rFonts w:ascii="Times New Roman" w:hAnsi="Times New Roman" w:eastAsia="宋体" w:cs="Times New Roman"/>
          <w:b/>
          <w:sz w:val="24"/>
          <w:szCs w:val="21"/>
        </w:rPr>
        <w:t>【检查】</w:t>
      </w:r>
      <w:r>
        <w:rPr>
          <w:rFonts w:hint="eastAsia" w:ascii="Times New Roman" w:hAnsi="Times New Roman" w:eastAsia="宋体" w:cs="Times New Roman"/>
          <w:b/>
          <w:sz w:val="24"/>
          <w:szCs w:val="21"/>
          <w:lang w:val="en-US" w:eastAsia="zh-CN"/>
        </w:rPr>
        <w:t xml:space="preserve"> </w:t>
      </w:r>
      <w:r>
        <w:rPr>
          <w:rFonts w:ascii="Times New Roman" w:hAnsi="Times New Roman" w:eastAsia="宋体" w:cs="Times New Roman"/>
          <w:sz w:val="24"/>
          <w:szCs w:val="21"/>
        </w:rPr>
        <w:t xml:space="preserve"> </w:t>
      </w:r>
      <w:r>
        <w:rPr>
          <w:rFonts w:ascii="Times New Roman" w:hAnsi="Times New Roman" w:eastAsia="宋体" w:cs="Times New Roman"/>
          <w:bCs/>
          <w:sz w:val="24"/>
          <w:szCs w:val="21"/>
        </w:rPr>
        <w:t>应符合颗粒剂项下有关的各项规定（中国药典 通则0104）。</w:t>
      </w:r>
    </w:p>
    <w:p w14:paraId="4E03DD57">
      <w:pPr>
        <w:spacing w:line="360" w:lineRule="auto"/>
        <w:ind w:firstLine="482" w:firstLineChars="200"/>
        <w:rPr>
          <w:rFonts w:ascii="Times New Roman" w:hAnsi="Times New Roman" w:eastAsia="宋体" w:cs="Times New Roman"/>
          <w:bCs/>
          <w:sz w:val="24"/>
          <w:szCs w:val="21"/>
        </w:rPr>
      </w:pPr>
      <w:r>
        <w:rPr>
          <w:rFonts w:ascii="Times New Roman" w:hAnsi="Times New Roman" w:eastAsia="宋体" w:cs="Times New Roman"/>
          <w:b/>
          <w:bCs/>
          <w:sz w:val="24"/>
          <w:szCs w:val="21"/>
        </w:rPr>
        <w:t>【浸出物】</w:t>
      </w:r>
      <w:r>
        <w:rPr>
          <w:rFonts w:ascii="Times New Roman" w:hAnsi="Times New Roman" w:eastAsia="宋体" w:cs="Times New Roman"/>
          <w:bCs/>
          <w:sz w:val="24"/>
          <w:szCs w:val="21"/>
        </w:rPr>
        <w:t xml:space="preserve"> </w:t>
      </w:r>
      <w:r>
        <w:rPr>
          <w:rFonts w:hint="eastAsia" w:ascii="Times New Roman" w:hAnsi="Times New Roman" w:eastAsia="宋体" w:cs="Times New Roman"/>
          <w:bCs/>
          <w:sz w:val="24"/>
          <w:szCs w:val="21"/>
          <w:lang w:val="en-US" w:eastAsia="zh-CN"/>
        </w:rPr>
        <w:t xml:space="preserve"> </w:t>
      </w:r>
      <w:r>
        <w:rPr>
          <w:rFonts w:ascii="Times New Roman" w:hAnsi="Times New Roman" w:eastAsia="宋体" w:cs="Times New Roman"/>
          <w:bCs/>
          <w:sz w:val="24"/>
          <w:szCs w:val="21"/>
        </w:rPr>
        <w:t>取本品适量，研细，取约2g，精密称定，精密加入乙醇100ml，照醇溶性浸出物测定法（中国药典 通则2201）项下的热浸法测定，不得少于14.0%。</w:t>
      </w:r>
    </w:p>
    <w:p w14:paraId="6E6292F3">
      <w:pPr>
        <w:spacing w:line="360" w:lineRule="auto"/>
        <w:ind w:firstLine="472" w:firstLineChars="196"/>
        <w:jc w:val="left"/>
        <w:rPr>
          <w:rFonts w:ascii="Times New Roman" w:hAnsi="Times New Roman" w:eastAsia="宋体" w:cs="Times New Roman"/>
          <w:color w:val="000000"/>
          <w:sz w:val="24"/>
          <w:szCs w:val="24"/>
        </w:rPr>
      </w:pPr>
      <w:r>
        <w:rPr>
          <w:rFonts w:ascii="Times New Roman" w:hAnsi="Times New Roman" w:eastAsia="宋体" w:cs="Times New Roman"/>
          <w:b/>
          <w:color w:val="000000"/>
          <w:sz w:val="24"/>
          <w:szCs w:val="24"/>
        </w:rPr>
        <w:t>【含量测定】</w:t>
      </w:r>
      <w:r>
        <w:rPr>
          <w:rFonts w:ascii="Times New Roman" w:hAnsi="Times New Roman" w:eastAsia="宋体" w:cs="Times New Roman"/>
          <w:color w:val="000000"/>
          <w:sz w:val="24"/>
          <w:szCs w:val="24"/>
        </w:rPr>
        <w:t xml:space="preserve"> </w:t>
      </w:r>
      <w:r>
        <w:rPr>
          <w:rFonts w:hint="eastAsia" w:ascii="Times New Roman" w:hAnsi="Times New Roman" w:eastAsia="宋体" w:cs="Times New Roman"/>
          <w:color w:val="000000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eastAsia="宋体" w:cs="Times New Roman"/>
          <w:b/>
          <w:color w:val="000000"/>
          <w:sz w:val="24"/>
          <w:szCs w:val="24"/>
        </w:rPr>
        <w:t>对照品溶液的制备</w:t>
      </w:r>
      <w:r>
        <w:rPr>
          <w:rFonts w:ascii="Times New Roman" w:hAnsi="Times New Roman" w:eastAsia="宋体" w:cs="Times New Roman"/>
          <w:color w:val="000000"/>
          <w:sz w:val="24"/>
          <w:szCs w:val="24"/>
        </w:rPr>
        <w:t xml:space="preserve">  取芹菜素对照品适量，精密称定，加80%甲醇制成每1ml含40μg的溶液，即得。</w:t>
      </w:r>
    </w:p>
    <w:p w14:paraId="7A74C671">
      <w:pPr>
        <w:spacing w:line="360" w:lineRule="auto"/>
        <w:ind w:firstLine="472" w:firstLineChars="196"/>
        <w:jc w:val="left"/>
        <w:rPr>
          <w:rFonts w:ascii="Times New Roman" w:hAnsi="Times New Roman" w:eastAsia="宋体" w:cs="Times New Roman"/>
          <w:sz w:val="24"/>
        </w:rPr>
      </w:pPr>
      <w:r>
        <w:rPr>
          <w:rFonts w:ascii="Times New Roman" w:hAnsi="Times New Roman" w:eastAsia="宋体" w:cs="Times New Roman"/>
          <w:b/>
          <w:color w:val="000000"/>
          <w:sz w:val="24"/>
          <w:szCs w:val="24"/>
        </w:rPr>
        <w:t>供试品溶液的制备</w:t>
      </w:r>
      <w:r>
        <w:rPr>
          <w:rFonts w:ascii="Times New Roman" w:hAnsi="Times New Roman" w:eastAsia="宋体" w:cs="Times New Roman"/>
          <w:color w:val="000000"/>
          <w:sz w:val="24"/>
          <w:szCs w:val="24"/>
        </w:rPr>
        <w:t xml:space="preserve">  </w:t>
      </w:r>
      <w:r>
        <w:rPr>
          <w:rFonts w:ascii="Times New Roman" w:hAnsi="Times New Roman" w:eastAsia="宋体" w:cs="Times New Roman"/>
          <w:sz w:val="24"/>
        </w:rPr>
        <w:t>精密量取对照品溶液1ml、2ml、4ml、6ml、8ml，分别置25ml量瓶中，用80%甲醇稀释至刻度，摇匀，以相应的试剂为空白，照紫外-分光光度法（中国药典 通则0401），在338nm的波长处测定吸光度，以吸光度为纵坐标，浓度为横坐标，绘制标准曲线。</w:t>
      </w:r>
    </w:p>
    <w:p w14:paraId="686DE4FB">
      <w:pPr>
        <w:spacing w:line="360" w:lineRule="auto"/>
        <w:ind w:firstLine="472" w:firstLineChars="196"/>
        <w:jc w:val="left"/>
        <w:rPr>
          <w:rFonts w:ascii="Times New Roman" w:hAnsi="Times New Roman" w:eastAsia="宋体" w:cs="Times New Roman"/>
          <w:color w:val="000000"/>
          <w:sz w:val="24"/>
          <w:szCs w:val="24"/>
        </w:rPr>
      </w:pPr>
      <w:r>
        <w:rPr>
          <w:rFonts w:ascii="Times New Roman" w:hAnsi="Times New Roman" w:eastAsia="宋体" w:cs="Times New Roman"/>
          <w:b/>
          <w:color w:val="000000"/>
          <w:sz w:val="24"/>
          <w:szCs w:val="24"/>
        </w:rPr>
        <w:t>测定法</w:t>
      </w:r>
      <w:r>
        <w:rPr>
          <w:rFonts w:ascii="Times New Roman" w:hAnsi="Times New Roman" w:eastAsia="宋体" w:cs="Times New Roman"/>
          <w:color w:val="000000"/>
          <w:sz w:val="24"/>
          <w:szCs w:val="24"/>
        </w:rPr>
        <w:t xml:space="preserve">  取本品适量，研细，取约0.1g，精密称定，置具塞锥形瓶中，精密加入50%乙醇25ml，称定重量，超声处理（功率250W，频率40kHz）30分钟，放冷，再称定重量，用50%乙醇补足减失的重量，摇匀，滤过，精密量取续滤液2ml，置25ml量瓶中，用50%乙醇稀释至刻度，摇匀，照标准曲线的制备项下的方法，自</w:t>
      </w:r>
      <w:r>
        <w:rPr>
          <w:rFonts w:hint="eastAsia" w:ascii="Times New Roman" w:hAnsi="Times New Roman" w:eastAsia="宋体" w:cs="Times New Roman"/>
          <w:color w:val="000000"/>
          <w:sz w:val="24"/>
          <w:szCs w:val="24"/>
        </w:rPr>
        <w:t>“</w:t>
      </w:r>
      <w:r>
        <w:rPr>
          <w:rFonts w:ascii="Times New Roman" w:hAnsi="Times New Roman" w:eastAsia="宋体" w:cs="Times New Roman"/>
          <w:color w:val="000000"/>
          <w:sz w:val="24"/>
          <w:szCs w:val="24"/>
        </w:rPr>
        <w:t>以相应的试剂为空白</w:t>
      </w:r>
      <w:r>
        <w:rPr>
          <w:rFonts w:hint="eastAsia" w:ascii="Times New Roman" w:hAnsi="Times New Roman" w:eastAsia="宋体" w:cs="Times New Roman"/>
          <w:color w:val="000000"/>
          <w:sz w:val="24"/>
          <w:szCs w:val="24"/>
        </w:rPr>
        <w:t>”</w:t>
      </w:r>
      <w:r>
        <w:rPr>
          <w:rFonts w:ascii="Times New Roman" w:hAnsi="Times New Roman" w:eastAsia="宋体" w:cs="Times New Roman"/>
          <w:color w:val="000000"/>
          <w:sz w:val="24"/>
          <w:szCs w:val="24"/>
        </w:rPr>
        <w:t>起，依法测定吸光度，从标准曲线上读出供试品溶液中含芹菜素的浓度，计算，即得。</w:t>
      </w:r>
    </w:p>
    <w:p w14:paraId="21F50781">
      <w:pPr>
        <w:spacing w:line="360" w:lineRule="auto"/>
        <w:ind w:firstLine="480" w:firstLineChars="200"/>
        <w:rPr>
          <w:rFonts w:ascii="Times New Roman" w:hAnsi="Times New Roman" w:eastAsia="宋体" w:cs="Times New Roman"/>
          <w:color w:val="000000"/>
          <w:sz w:val="24"/>
          <w:szCs w:val="24"/>
        </w:rPr>
      </w:pPr>
      <w:r>
        <w:rPr>
          <w:rFonts w:ascii="Times New Roman" w:hAnsi="Times New Roman" w:eastAsia="宋体" w:cs="Times New Roman"/>
          <w:color w:val="000000"/>
          <w:sz w:val="24"/>
          <w:szCs w:val="24"/>
        </w:rPr>
        <w:t>本品每1g含总黄酮以芹菜素（C</w:t>
      </w:r>
      <w:r>
        <w:rPr>
          <w:rFonts w:ascii="Times New Roman" w:hAnsi="Times New Roman" w:eastAsia="宋体" w:cs="Times New Roman"/>
          <w:color w:val="000000"/>
          <w:sz w:val="24"/>
          <w:szCs w:val="24"/>
          <w:vertAlign w:val="subscript"/>
        </w:rPr>
        <w:t>15</w:t>
      </w:r>
      <w:r>
        <w:rPr>
          <w:rFonts w:ascii="Times New Roman" w:hAnsi="Times New Roman" w:eastAsia="宋体" w:cs="Times New Roman"/>
          <w:color w:val="000000"/>
          <w:sz w:val="24"/>
          <w:szCs w:val="24"/>
        </w:rPr>
        <w:t>H</w:t>
      </w:r>
      <w:r>
        <w:rPr>
          <w:rFonts w:ascii="Times New Roman" w:hAnsi="Times New Roman" w:eastAsia="宋体" w:cs="Times New Roman"/>
          <w:color w:val="000000"/>
          <w:sz w:val="24"/>
          <w:szCs w:val="24"/>
          <w:vertAlign w:val="subscript"/>
        </w:rPr>
        <w:t>10</w:t>
      </w:r>
      <w:r>
        <w:rPr>
          <w:rFonts w:ascii="Times New Roman" w:hAnsi="Times New Roman" w:eastAsia="宋体" w:cs="Times New Roman"/>
          <w:color w:val="000000"/>
          <w:sz w:val="24"/>
          <w:szCs w:val="24"/>
        </w:rPr>
        <w:t>O</w:t>
      </w:r>
      <w:r>
        <w:rPr>
          <w:rFonts w:ascii="Times New Roman" w:hAnsi="Times New Roman" w:eastAsia="宋体" w:cs="Times New Roman"/>
          <w:color w:val="000000"/>
          <w:sz w:val="24"/>
          <w:szCs w:val="24"/>
          <w:vertAlign w:val="subscript"/>
        </w:rPr>
        <w:t>5</w:t>
      </w:r>
      <w:r>
        <w:rPr>
          <w:rFonts w:ascii="Times New Roman" w:hAnsi="Times New Roman" w:eastAsia="宋体" w:cs="Times New Roman"/>
          <w:color w:val="000000"/>
          <w:sz w:val="24"/>
          <w:szCs w:val="24"/>
        </w:rPr>
        <w:t>）计，应为12.0~42.0mg。</w:t>
      </w:r>
    </w:p>
    <w:p w14:paraId="623B8189">
      <w:pPr>
        <w:spacing w:line="360" w:lineRule="auto"/>
        <w:ind w:firstLine="482" w:firstLineChars="200"/>
        <w:rPr>
          <w:rFonts w:ascii="Times New Roman" w:hAnsi="Times New Roman" w:eastAsia="宋体" w:cs="Times New Roman"/>
          <w:sz w:val="24"/>
          <w:szCs w:val="21"/>
        </w:rPr>
      </w:pPr>
      <w:r>
        <w:rPr>
          <w:rFonts w:ascii="Times New Roman" w:hAnsi="Times New Roman" w:eastAsia="宋体" w:cs="Times New Roman"/>
          <w:b/>
          <w:sz w:val="24"/>
          <w:szCs w:val="21"/>
        </w:rPr>
        <w:t>【规格】</w:t>
      </w:r>
      <w:r>
        <w:rPr>
          <w:rFonts w:ascii="Times New Roman" w:hAnsi="Times New Roman" w:eastAsia="宋体" w:cs="Times New Roman"/>
          <w:sz w:val="24"/>
          <w:szCs w:val="21"/>
        </w:rPr>
        <w:t xml:space="preserve"> </w:t>
      </w:r>
      <w:r>
        <w:rPr>
          <w:rFonts w:hint="eastAsia" w:ascii="Times New Roman" w:hAnsi="Times New Roman" w:eastAsia="宋体" w:cs="Times New Roman"/>
          <w:sz w:val="24"/>
          <w:szCs w:val="21"/>
          <w:lang w:val="en-US" w:eastAsia="zh-CN"/>
        </w:rPr>
        <w:t xml:space="preserve"> </w:t>
      </w:r>
      <w:r>
        <w:rPr>
          <w:rFonts w:ascii="Times New Roman" w:hAnsi="Times New Roman" w:eastAsia="宋体" w:cs="Times New Roman"/>
          <w:sz w:val="24"/>
          <w:szCs w:val="21"/>
        </w:rPr>
        <w:t>每1g配方颗粒相当于饮片6g</w:t>
      </w:r>
    </w:p>
    <w:p w14:paraId="6F4FAB5A">
      <w:pPr>
        <w:spacing w:line="360" w:lineRule="auto"/>
        <w:ind w:firstLine="467" w:firstLineChars="194"/>
        <w:rPr>
          <w:rFonts w:ascii="Times New Roman" w:hAnsi="Times New Roman" w:eastAsia="宋体" w:cs="Times New Roman"/>
          <w:sz w:val="24"/>
          <w:szCs w:val="21"/>
        </w:rPr>
      </w:pPr>
      <w:r>
        <w:rPr>
          <w:rFonts w:ascii="Times New Roman" w:hAnsi="Times New Roman" w:eastAsia="宋体" w:cs="Times New Roman"/>
          <w:b/>
          <w:sz w:val="24"/>
          <w:szCs w:val="21"/>
        </w:rPr>
        <w:t>【贮藏】</w:t>
      </w:r>
      <w:r>
        <w:rPr>
          <w:rFonts w:hint="eastAsia" w:ascii="Times New Roman" w:hAnsi="Times New Roman" w:eastAsia="宋体" w:cs="Times New Roman"/>
          <w:b/>
          <w:sz w:val="24"/>
          <w:szCs w:val="21"/>
          <w:lang w:val="en-US" w:eastAsia="zh-CN"/>
        </w:rPr>
        <w:t xml:space="preserve"> </w:t>
      </w:r>
      <w:bookmarkStart w:id="0" w:name="_GoBack"/>
      <w:bookmarkEnd w:id="0"/>
      <w:r>
        <w:rPr>
          <w:rFonts w:ascii="Times New Roman" w:hAnsi="Times New Roman" w:eastAsia="宋体" w:cs="Times New Roman"/>
          <w:sz w:val="24"/>
          <w:szCs w:val="21"/>
        </w:rPr>
        <w:t xml:space="preserve"> 密封。</w:t>
      </w:r>
    </w:p>
    <w:p w14:paraId="2223F6E5">
      <w:pPr>
        <w:spacing w:line="360" w:lineRule="auto"/>
        <w:ind w:firstLine="480" w:firstLineChars="200"/>
        <w:rPr>
          <w:rFonts w:ascii="Times New Roman" w:hAnsi="Times New Roman" w:eastAsia="宋体" w:cs="Times New Roman"/>
          <w:sz w:val="24"/>
          <w:szCs w:val="24"/>
        </w:rPr>
      </w:pPr>
    </w:p>
    <w:p w14:paraId="020832A1"/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DF57A0D"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  <w:rPr>
        <w:rFonts w:ascii="Times New Roman" w:hAnsi="Times New Roman" w:eastAsia="宋体" w:cs="黑体"/>
        <w:sz w:val="18"/>
      </w:rPr>
    </w:pPr>
    <w:r>
      <w:rPr>
        <w:rFonts w:ascii="Times New Roman" w:hAnsi="Times New Roman" w:eastAsia="宋体" w:cs="黑体"/>
        <w:sz w:val="18"/>
      </w:rPr>
      <w:pict>
        <v:shape id="PowerPlusWaterMarkObject65224" o:spid="_x0000_s2050" o:spt="136" type="#_x0000_t136" style="position:absolute;left:0pt;height:39.05pt;width:548.2pt;mso-position-horizontal:center;mso-position-horizontal-relative:margin;mso-position-vertical:center;mso-position-vertical-relative:margin;rotation:-2949120f;z-index:-251657216;mso-width-relative:page;mso-height-relative:page;" fillcolor="#C0C0C0" filled="t" stroked="f" coordsize="21600,21600">
          <v:path/>
          <v:fill on="t" opacity="32768f" focussize="0,0"/>
          <v:stroke on="f"/>
          <v:imagedata o:title=""/>
          <o:lock v:ext="edit" aspectratio="t"/>
          <v:textpath on="t" fitshape="t" fitpath="t" trim="t" xscale="f" string="江苏省中药配方颗粒质量标准公示稿" style="font-family:宋体;font-size:36pt;v-text-align:center;"/>
        </v:shape>
      </w:pict>
    </w:r>
    <w:r>
      <w:rPr>
        <w:rFonts w:hint="eastAsia" w:ascii="Calibri" w:hAnsi="Calibri" w:eastAsia="宋体" w:cs="Times New Roman"/>
        <w:sz w:val="28"/>
        <w:szCs w:val="28"/>
      </w:rPr>
      <w:t>江苏省中药配方颗粒质量标准公示稿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7AB4"/>
    <w:rsid w:val="00036F75"/>
    <w:rsid w:val="000976FD"/>
    <w:rsid w:val="000A2071"/>
    <w:rsid w:val="000B4D9A"/>
    <w:rsid w:val="000C5730"/>
    <w:rsid w:val="00107655"/>
    <w:rsid w:val="00107F9E"/>
    <w:rsid w:val="001326E7"/>
    <w:rsid w:val="001B76FE"/>
    <w:rsid w:val="0021093E"/>
    <w:rsid w:val="00230802"/>
    <w:rsid w:val="002468DA"/>
    <w:rsid w:val="00247C9C"/>
    <w:rsid w:val="002504A8"/>
    <w:rsid w:val="00276645"/>
    <w:rsid w:val="00281DF8"/>
    <w:rsid w:val="00287B21"/>
    <w:rsid w:val="00291B5F"/>
    <w:rsid w:val="002E62B2"/>
    <w:rsid w:val="00392709"/>
    <w:rsid w:val="00410E00"/>
    <w:rsid w:val="00456B21"/>
    <w:rsid w:val="004B4934"/>
    <w:rsid w:val="004D2025"/>
    <w:rsid w:val="004D2149"/>
    <w:rsid w:val="00500DCD"/>
    <w:rsid w:val="005A52D8"/>
    <w:rsid w:val="005E4699"/>
    <w:rsid w:val="005F5EB1"/>
    <w:rsid w:val="006064E5"/>
    <w:rsid w:val="00610AB1"/>
    <w:rsid w:val="0064611C"/>
    <w:rsid w:val="006740D9"/>
    <w:rsid w:val="0068484E"/>
    <w:rsid w:val="00706C50"/>
    <w:rsid w:val="0072226D"/>
    <w:rsid w:val="007A5E94"/>
    <w:rsid w:val="007C355D"/>
    <w:rsid w:val="008344FE"/>
    <w:rsid w:val="00957AB4"/>
    <w:rsid w:val="00987067"/>
    <w:rsid w:val="009B4D62"/>
    <w:rsid w:val="009B7069"/>
    <w:rsid w:val="009D130D"/>
    <w:rsid w:val="009E42F0"/>
    <w:rsid w:val="009E66A4"/>
    <w:rsid w:val="009F41FA"/>
    <w:rsid w:val="00A16BBE"/>
    <w:rsid w:val="00A3171C"/>
    <w:rsid w:val="00A96167"/>
    <w:rsid w:val="00AE1CAC"/>
    <w:rsid w:val="00B56B53"/>
    <w:rsid w:val="00B64118"/>
    <w:rsid w:val="00BC7843"/>
    <w:rsid w:val="00BD7321"/>
    <w:rsid w:val="00C41DC3"/>
    <w:rsid w:val="00C91901"/>
    <w:rsid w:val="00C94330"/>
    <w:rsid w:val="00CD44FB"/>
    <w:rsid w:val="00CD5340"/>
    <w:rsid w:val="00CE0860"/>
    <w:rsid w:val="00CE300E"/>
    <w:rsid w:val="00ED5BAD"/>
    <w:rsid w:val="00EE5961"/>
    <w:rsid w:val="00FE63DF"/>
    <w:rsid w:val="166D45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iPriority="99" w:semiHidden="0" w:name="heading 2"/>
    <w:lsdException w:qFormat="1" w:uiPriority="99" w:semiHidden="0" w:name="heading 3"/>
    <w:lsdException w:qFormat="1" w:uiPriority="99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2"/>
    <w:autoRedefine/>
    <w:qFormat/>
    <w:uiPriority w:val="99"/>
    <w:pPr>
      <w:keepNext/>
      <w:keepLines/>
      <w:spacing w:before="100" w:beforeLines="100" w:after="100" w:afterLines="100" w:line="360" w:lineRule="auto"/>
      <w:outlineLvl w:val="0"/>
    </w:pPr>
    <w:rPr>
      <w:b/>
      <w:bCs/>
      <w:kern w:val="44"/>
      <w:sz w:val="28"/>
      <w:szCs w:val="44"/>
    </w:rPr>
  </w:style>
  <w:style w:type="paragraph" w:styleId="3">
    <w:name w:val="heading 2"/>
    <w:basedOn w:val="1"/>
    <w:next w:val="1"/>
    <w:link w:val="13"/>
    <w:autoRedefine/>
    <w:unhideWhenUsed/>
    <w:qFormat/>
    <w:uiPriority w:val="99"/>
    <w:pPr>
      <w:keepNext/>
      <w:keepLines/>
      <w:spacing w:line="360" w:lineRule="auto"/>
      <w:outlineLvl w:val="1"/>
    </w:pPr>
    <w:rPr>
      <w:b/>
      <w:bCs/>
      <w:szCs w:val="24"/>
    </w:rPr>
  </w:style>
  <w:style w:type="paragraph" w:styleId="4">
    <w:name w:val="heading 3"/>
    <w:basedOn w:val="1"/>
    <w:next w:val="1"/>
    <w:link w:val="14"/>
    <w:autoRedefine/>
    <w:unhideWhenUsed/>
    <w:qFormat/>
    <w:uiPriority w:val="99"/>
    <w:pPr>
      <w:keepNext/>
      <w:keepLines/>
      <w:spacing w:line="360" w:lineRule="auto"/>
      <w:outlineLvl w:val="2"/>
    </w:pPr>
    <w:rPr>
      <w:b/>
      <w:bCs/>
      <w:szCs w:val="32"/>
    </w:rPr>
  </w:style>
  <w:style w:type="paragraph" w:styleId="5">
    <w:name w:val="heading 4"/>
    <w:basedOn w:val="1"/>
    <w:next w:val="1"/>
    <w:link w:val="15"/>
    <w:autoRedefine/>
    <w:unhideWhenUsed/>
    <w:qFormat/>
    <w:uiPriority w:val="99"/>
    <w:pPr>
      <w:keepNext/>
      <w:keepLines/>
      <w:spacing w:line="360" w:lineRule="auto"/>
      <w:outlineLvl w:val="3"/>
    </w:pPr>
    <w:rPr>
      <w:rFonts w:cstheme="majorBidi"/>
      <w:b/>
      <w:bCs/>
      <w:szCs w:val="28"/>
    </w:rPr>
  </w:style>
  <w:style w:type="character" w:default="1" w:styleId="11">
    <w:name w:val="Default Paragraph Font"/>
    <w:semiHidden/>
    <w:unhideWhenUsed/>
    <w:uiPriority w:val="1"/>
  </w:style>
  <w:style w:type="table" w:default="1" w:styleId="9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Balloon Text"/>
    <w:basedOn w:val="1"/>
    <w:link w:val="20"/>
    <w:semiHidden/>
    <w:unhideWhenUsed/>
    <w:uiPriority w:val="99"/>
    <w:rPr>
      <w:sz w:val="18"/>
      <w:szCs w:val="18"/>
    </w:rPr>
  </w:style>
  <w:style w:type="paragraph" w:styleId="7">
    <w:name w:val="footer"/>
    <w:basedOn w:val="1"/>
    <w:link w:val="1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10">
    <w:name w:val="Table Grid"/>
    <w:basedOn w:val="9"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2">
    <w:name w:val="标题 1 字符"/>
    <w:basedOn w:val="11"/>
    <w:link w:val="2"/>
    <w:qFormat/>
    <w:uiPriority w:val="99"/>
    <w:rPr>
      <w:b/>
      <w:bCs/>
      <w:kern w:val="44"/>
      <w:sz w:val="28"/>
      <w:szCs w:val="44"/>
    </w:rPr>
  </w:style>
  <w:style w:type="character" w:customStyle="1" w:styleId="13">
    <w:name w:val="标题 2 字符"/>
    <w:basedOn w:val="11"/>
    <w:link w:val="3"/>
    <w:qFormat/>
    <w:uiPriority w:val="99"/>
    <w:rPr>
      <w:b/>
      <w:bCs/>
      <w:szCs w:val="24"/>
    </w:rPr>
  </w:style>
  <w:style w:type="character" w:customStyle="1" w:styleId="14">
    <w:name w:val="标题 3 字符"/>
    <w:basedOn w:val="11"/>
    <w:link w:val="4"/>
    <w:qFormat/>
    <w:uiPriority w:val="99"/>
    <w:rPr>
      <w:b/>
      <w:bCs/>
      <w:szCs w:val="32"/>
    </w:rPr>
  </w:style>
  <w:style w:type="character" w:customStyle="1" w:styleId="15">
    <w:name w:val="标题 4 字符"/>
    <w:basedOn w:val="11"/>
    <w:link w:val="5"/>
    <w:qFormat/>
    <w:uiPriority w:val="99"/>
    <w:rPr>
      <w:rFonts w:cstheme="majorBidi"/>
      <w:b/>
      <w:bCs/>
      <w:szCs w:val="28"/>
    </w:rPr>
  </w:style>
  <w:style w:type="character" w:customStyle="1" w:styleId="16">
    <w:name w:val="页眉 字符"/>
    <w:basedOn w:val="11"/>
    <w:link w:val="8"/>
    <w:uiPriority w:val="99"/>
    <w:rPr>
      <w:sz w:val="18"/>
      <w:szCs w:val="18"/>
    </w:rPr>
  </w:style>
  <w:style w:type="character" w:customStyle="1" w:styleId="17">
    <w:name w:val="页脚 字符"/>
    <w:basedOn w:val="11"/>
    <w:link w:val="7"/>
    <w:uiPriority w:val="99"/>
    <w:rPr>
      <w:sz w:val="18"/>
      <w:szCs w:val="18"/>
    </w:rPr>
  </w:style>
  <w:style w:type="table" w:customStyle="1" w:styleId="18">
    <w:name w:val="三线表1"/>
    <w:basedOn w:val="9"/>
    <w:qFormat/>
    <w:uiPriority w:val="99"/>
    <w:rPr>
      <w:kern w:val="0"/>
      <w:sz w:val="21"/>
      <w:szCs w:val="20"/>
    </w:rPr>
    <w:tblPr>
      <w:jc w:val="center"/>
      <w:tblBorders>
        <w:top w:val="single" w:color="auto" w:sz="12" w:space="0"/>
        <w:bottom w:val="single" w:color="auto" w:sz="12" w:space="0"/>
      </w:tblBorders>
    </w:tblPr>
    <w:trPr>
      <w:jc w:val="center"/>
    </w:trPr>
    <w:tcPr>
      <w:vAlign w:val="center"/>
    </w:tcPr>
    <w:tblStylePr w:type="firstRow">
      <w:tcPr>
        <w:tcBorders>
          <w:top w:val="single" w:color="auto" w:sz="12" w:space="0"/>
          <w:left w:val="nil"/>
          <w:bottom w:val="single" w:color="auto" w:sz="8" w:space="0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19">
    <w:name w:val="网格型1"/>
    <w:basedOn w:val="9"/>
    <w:qFormat/>
    <w:uiPriority w:val="0"/>
    <w:rPr>
      <w:kern w:val="0"/>
      <w:sz w:val="20"/>
      <w:szCs w:val="20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customStyle="1" w:styleId="20">
    <w:name w:val="批注框文本 字符"/>
    <w:basedOn w:val="11"/>
    <w:link w:val="6"/>
    <w:semiHidden/>
    <w:uiPriority w:val="99"/>
    <w:rPr>
      <w:rFonts w:asciiTheme="minorHAnsi" w:hAnsiTheme="minorHAnsi" w:eastAsiaTheme="minorEastAsia" w:cstheme="minorBidi"/>
      <w:sz w:val="18"/>
      <w:szCs w:val="18"/>
    </w:rPr>
  </w:style>
  <w:style w:type="table" w:customStyle="1" w:styleId="21">
    <w:name w:val="三线表"/>
    <w:basedOn w:val="9"/>
    <w:qFormat/>
    <w:uiPriority w:val="99"/>
    <w:rPr>
      <w:kern w:val="0"/>
      <w:sz w:val="21"/>
      <w:szCs w:val="20"/>
    </w:rPr>
    <w:tblPr>
      <w:jc w:val="center"/>
      <w:tblBorders>
        <w:top w:val="single" w:color="auto" w:sz="12" w:space="0"/>
        <w:bottom w:val="single" w:color="auto" w:sz="12" w:space="0"/>
      </w:tblBorders>
    </w:tblPr>
    <w:trPr>
      <w:jc w:val="center"/>
    </w:trPr>
    <w:tcPr>
      <w:vAlign w:val="center"/>
    </w:tcPr>
    <w:tblStylePr w:type="firstRow">
      <w:tcPr>
        <w:tcBorders>
          <w:top w:val="single" w:color="auto" w:sz="12" w:space="0"/>
          <w:left w:val="nil"/>
          <w:bottom w:val="single" w:color="auto" w:sz="8" w:space="0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22">
    <w:name w:val="样式2"/>
    <w:basedOn w:val="9"/>
    <w:qFormat/>
    <w:uiPriority w:val="99"/>
    <w:pPr>
      <w:jc w:val="center"/>
    </w:pPr>
    <w:rPr>
      <w:kern w:val="0"/>
      <w:sz w:val="21"/>
      <w:szCs w:val="20"/>
    </w:rPr>
    <w:tblPr>
      <w:jc w:val="center"/>
      <w:tblBorders>
        <w:top w:val="single" w:color="auto" w:sz="12" w:space="0"/>
        <w:bottom w:val="single" w:color="auto" w:sz="12" w:space="0"/>
      </w:tblBorders>
    </w:tblPr>
    <w:trPr>
      <w:jc w:val="center"/>
    </w:trPr>
    <w:tcPr>
      <w:vAlign w:val="center"/>
    </w:tcPr>
    <w:tblStylePr w:type="firstRow">
      <w:tcPr>
        <w:tcBorders>
          <w:bottom w:val="single" w:color="auto" w:sz="8" w:space="0"/>
        </w:tcBorders>
      </w:tcPr>
    </w:tblStyle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2050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1BFAEA5-3ABD-4B60-BCC9-11FBBB95C41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1462</Words>
  <Characters>1744</Characters>
  <Lines>13</Lines>
  <Paragraphs>3</Paragraphs>
  <TotalTime>341</TotalTime>
  <ScaleCrop>false</ScaleCrop>
  <LinksUpToDate>false</LinksUpToDate>
  <CharactersWithSpaces>1782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2022-10-28T08:09:00Z</dcterms:created>
  <dc:creator>顾珂镭</dc:creator>
  <cp:lastModifiedBy>李小蜗</cp:lastModifiedBy>
  <dcterms:modified xsi:type="dcterms:W3CDTF">2025-01-08T02:27:29Z</dcterms:modified>
  <cp:revision>40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eyJoZGlkIjoiMmI2MzE1NTQ0YjVhODQxYzZkZTNmMjdmMTczZTQ5ODMiLCJ1c2VySWQiOiIzMDE1NzkzNzYifQ==</vt:lpwstr>
  </property>
  <property fmtid="{D5CDD505-2E9C-101B-9397-08002B2CF9AE}" pid="3" name="KSOProductBuildVer">
    <vt:lpwstr>2052-12.1.0.19770</vt:lpwstr>
  </property>
  <property fmtid="{D5CDD505-2E9C-101B-9397-08002B2CF9AE}" pid="4" name="ICV">
    <vt:lpwstr>B505FA24E2404DD8BF6262EFE6D2080D_13</vt:lpwstr>
  </property>
</Properties>
</file>