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F3F57">
      <w:pPr>
        <w:spacing w:line="360" w:lineRule="auto"/>
        <w:jc w:val="center"/>
        <w:rPr>
          <w:rFonts w:ascii="Times New Roman" w:hAnsi="Times New Roman" w:eastAsia="宋体" w:cs="Times New Roman"/>
          <w:b/>
          <w:color w:val="000000"/>
          <w:sz w:val="28"/>
          <w:szCs w:val="28"/>
        </w:rPr>
      </w:pPr>
      <w:r>
        <w:rPr>
          <w:rFonts w:ascii="Times New Roman" w:hAnsi="Times New Roman" w:eastAsia="宋体" w:cs="Times New Roman"/>
          <w:b/>
          <w:bCs/>
          <w:sz w:val="28"/>
          <w:szCs w:val="28"/>
        </w:rPr>
        <w:t>千里光配方颗粒</w:t>
      </w:r>
    </w:p>
    <w:p w14:paraId="7F6450FD">
      <w:pPr>
        <w:spacing w:line="360" w:lineRule="auto"/>
        <w:jc w:val="center"/>
        <w:rPr>
          <w:rFonts w:ascii="Times New Roman" w:hAnsi="Times New Roman" w:eastAsia="宋体" w:cs="Times New Roman"/>
          <w:b/>
          <w:bCs/>
          <w:sz w:val="28"/>
          <w:szCs w:val="28"/>
        </w:rPr>
      </w:pPr>
      <w:r>
        <w:rPr>
          <w:rFonts w:ascii="Times New Roman" w:hAnsi="Times New Roman" w:eastAsia="宋体" w:cs="Times New Roman"/>
          <w:b/>
          <w:sz w:val="28"/>
          <w:szCs w:val="28"/>
        </w:rPr>
        <w:t>Qianliguang</w:t>
      </w:r>
      <w:r>
        <w:rPr>
          <w:rFonts w:ascii="Times New Roman" w:hAnsi="Times New Roman" w:eastAsia="宋体" w:cs="Times New Roman"/>
          <w:b/>
          <w:bCs/>
          <w:sz w:val="28"/>
          <w:szCs w:val="28"/>
        </w:rPr>
        <w:t xml:space="preserve">  Peifangkeli</w:t>
      </w:r>
    </w:p>
    <w:p w14:paraId="5A92A0C3">
      <w:pPr>
        <w:spacing w:line="360" w:lineRule="auto"/>
        <w:ind w:firstLine="499" w:firstLineChars="208"/>
        <w:rPr>
          <w:rFonts w:ascii="Times New Roman" w:hAnsi="Times New Roman" w:eastAsia="宋体" w:cs="Times New Roman"/>
          <w:bCs/>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来源</w:t>
      </w:r>
      <w:r>
        <w:rPr>
          <w:rFonts w:ascii="Times New Roman" w:hAnsi="Times New Roman" w:eastAsia="宋体" w:cs="Times New Roman"/>
          <w:sz w:val="24"/>
          <w:szCs w:val="24"/>
        </w:rPr>
        <w:t>】</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bCs/>
          <w:sz w:val="24"/>
          <w:szCs w:val="24"/>
        </w:rPr>
        <w:t>本品为菊科植物千里光</w:t>
      </w:r>
      <w:r>
        <w:rPr>
          <w:rFonts w:ascii="Times New Roman" w:hAnsi="Times New Roman" w:eastAsia="宋体" w:cs="Times New Roman"/>
          <w:bCs/>
          <w:i/>
          <w:iCs/>
          <w:sz w:val="24"/>
          <w:szCs w:val="24"/>
        </w:rPr>
        <w:t xml:space="preserve">Senecio scandens </w:t>
      </w:r>
      <w:r>
        <w:rPr>
          <w:rFonts w:ascii="Times New Roman" w:hAnsi="Times New Roman" w:eastAsia="宋体" w:cs="Times New Roman"/>
          <w:bCs/>
          <w:sz w:val="24"/>
          <w:szCs w:val="24"/>
        </w:rPr>
        <w:t>Buch. -Ham.的干燥地上部分经炮制并按标准汤剂的主要质量指标加工制成的配方颗粒。</w:t>
      </w:r>
    </w:p>
    <w:p w14:paraId="2BD73490">
      <w:pPr>
        <w:spacing w:line="360" w:lineRule="auto"/>
        <w:ind w:firstLine="499" w:firstLineChars="208"/>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制法</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取千里光饮片5000g，加水煎煮，滤过，滤液浓缩成清膏（出膏率为10~20%），加入辅料适量，干燥（或干燥，粉碎），再加入辅料适量，混匀，制粒，制成1000g，即得。</w:t>
      </w:r>
    </w:p>
    <w:p w14:paraId="6B91352D">
      <w:pPr>
        <w:spacing w:line="360" w:lineRule="auto"/>
        <w:ind w:firstLine="499" w:firstLineChars="208"/>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性状</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本品为黄褐色至棕褐色的颗粒；气微，味微苦。</w:t>
      </w:r>
    </w:p>
    <w:p w14:paraId="5FD62553">
      <w:pPr>
        <w:spacing w:line="360" w:lineRule="auto"/>
        <w:ind w:firstLine="499" w:firstLineChars="208"/>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鉴别</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取本品适量，研细，取1g，加乙醇20ml，加热回流1小时，滤过，滤液蒸干，残渣加乙醇1ml使溶解，作为供试品溶液。另取千里光对照药材5g，加水100ml，煎煮30分钟，滤过，滤液蒸干，残渣加乙醇20ml，同法制成对照药材溶液；或取千里光配方颗粒对照提取物0.35g，加乙醇20ml，超声处理30分钟，滤过，滤液蒸干，残渣加乙醇1ml使溶解，作为配方颗粒对照提取物溶液。照薄层色谱法（中国药典 通则0502）试验，吸取上述三种溶液各5μl，分别点于同一硅胶G薄层板上，以乙酸丁酯-甲酸-水（7︰2.5︰2.5）的上层溶液为展开剂，展开，取出，晾干，喷以5%三氯化铝乙醇溶液，在105℃加热数分钟，置紫外光灯（365nm）下检视。供试品色谱中，在与对照药材或配方颗粒对照提取物色谱相应的位置上，显相同颜色的荧光斑点。</w:t>
      </w:r>
    </w:p>
    <w:p w14:paraId="293883B9">
      <w:pPr>
        <w:spacing w:line="360" w:lineRule="auto"/>
        <w:ind w:firstLine="499" w:firstLineChars="208"/>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b/>
          <w:bCs/>
          <w:sz w:val="24"/>
          <w:szCs w:val="24"/>
        </w:rPr>
        <w:t>特征图谱</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b/>
          <w:sz w:val="24"/>
          <w:szCs w:val="24"/>
        </w:rPr>
        <w:t xml:space="preserve"> </w:t>
      </w:r>
      <w:r>
        <w:rPr>
          <w:rFonts w:ascii="Times New Roman" w:hAnsi="Times New Roman" w:eastAsia="宋体" w:cs="Times New Roman"/>
          <w:sz w:val="24"/>
          <w:szCs w:val="24"/>
        </w:rPr>
        <w:t>照高效液相色谱法（中国药典 通则0512）测定。</w:t>
      </w:r>
    </w:p>
    <w:p w14:paraId="26292F89">
      <w:pPr>
        <w:spacing w:line="360" w:lineRule="auto"/>
        <w:ind w:firstLine="472" w:firstLineChars="196"/>
        <w:rPr>
          <w:rFonts w:ascii="Times New Roman" w:hAnsi="Times New Roman" w:eastAsia="宋体" w:cs="Times New Roman"/>
          <w:color w:val="000000"/>
          <w:sz w:val="24"/>
          <w:szCs w:val="24"/>
        </w:rPr>
      </w:pPr>
      <w:r>
        <w:rPr>
          <w:rFonts w:ascii="Times New Roman" w:hAnsi="Times New Roman" w:eastAsia="宋体" w:cs="Times New Roman"/>
          <w:b/>
          <w:bCs/>
          <w:color w:val="000000"/>
          <w:sz w:val="24"/>
          <w:szCs w:val="24"/>
        </w:rPr>
        <w:t xml:space="preserve">色谱条件与系统适用性试验 </w:t>
      </w:r>
      <w:r>
        <w:rPr>
          <w:rFonts w:ascii="Times New Roman" w:hAnsi="Times New Roman" w:eastAsia="宋体" w:cs="Times New Roman"/>
          <w:color w:val="000000"/>
          <w:sz w:val="24"/>
          <w:szCs w:val="24"/>
        </w:rPr>
        <w:t xml:space="preserve"> 以十八烷基硅烷键合硅胶为填充剂；以乙腈为流动相A，以0.1%磷酸溶液为流动相B，按下表梯度洗脱；检测波长为325nm。理论板数按金丝桃苷峰计应不低于8000。</w:t>
      </w:r>
    </w:p>
    <w:tbl>
      <w:tblPr>
        <w:tblStyle w:val="9"/>
        <w:tblW w:w="5000" w:type="pct"/>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1855CA6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tcBorders>
              <w:top w:val="single" w:color="000000" w:sz="12" w:space="0"/>
              <w:bottom w:val="single" w:color="000000" w:sz="8" w:space="0"/>
            </w:tcBorders>
            <w:shd w:val="clear" w:color="auto" w:fill="auto"/>
          </w:tcPr>
          <w:p w14:paraId="2C3FFDD3">
            <w:pPr>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时间（分钟）</w:t>
            </w:r>
          </w:p>
        </w:tc>
        <w:tc>
          <w:tcPr>
            <w:tcW w:w="1666" w:type="pct"/>
            <w:tcBorders>
              <w:top w:val="single" w:color="000000" w:sz="12" w:space="0"/>
              <w:bottom w:val="single" w:color="000000" w:sz="8" w:space="0"/>
            </w:tcBorders>
            <w:shd w:val="clear" w:color="auto" w:fill="auto"/>
          </w:tcPr>
          <w:p w14:paraId="7FB65A17">
            <w:pPr>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流动相A（%）</w:t>
            </w:r>
          </w:p>
        </w:tc>
        <w:tc>
          <w:tcPr>
            <w:tcW w:w="1666" w:type="pct"/>
            <w:tcBorders>
              <w:top w:val="single" w:color="000000" w:sz="12" w:space="0"/>
              <w:bottom w:val="single" w:color="000000" w:sz="8" w:space="0"/>
            </w:tcBorders>
            <w:shd w:val="clear" w:color="auto" w:fill="auto"/>
          </w:tcPr>
          <w:p w14:paraId="4839C29F">
            <w:pPr>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流动相B（%）</w:t>
            </w:r>
          </w:p>
        </w:tc>
      </w:tr>
      <w:tr w14:paraId="26CA6EE0">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tcBorders>
              <w:top w:val="single" w:color="000000" w:sz="8" w:space="0"/>
            </w:tcBorders>
            <w:shd w:val="clear" w:color="auto" w:fill="auto"/>
          </w:tcPr>
          <w:p w14:paraId="7637285B">
            <w:pPr>
              <w:jc w:val="cente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0</w:t>
            </w:r>
          </w:p>
        </w:tc>
        <w:tc>
          <w:tcPr>
            <w:tcW w:w="1666" w:type="pct"/>
            <w:tcBorders>
              <w:top w:val="single" w:color="000000" w:sz="8" w:space="0"/>
            </w:tcBorders>
            <w:shd w:val="clear" w:color="auto" w:fill="auto"/>
          </w:tcPr>
          <w:p w14:paraId="627838CA">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0</w:t>
            </w:r>
          </w:p>
        </w:tc>
        <w:tc>
          <w:tcPr>
            <w:tcW w:w="1666" w:type="pct"/>
            <w:tcBorders>
              <w:top w:val="single" w:color="000000" w:sz="8" w:space="0"/>
            </w:tcBorders>
            <w:shd w:val="clear" w:color="auto" w:fill="auto"/>
          </w:tcPr>
          <w:p w14:paraId="45B0FEB5">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9</w:t>
            </w:r>
            <w:r>
              <w:rPr>
                <w:rFonts w:ascii="Times New Roman" w:hAnsi="Times New Roman" w:eastAsia="宋体" w:cs="Times New Roman"/>
                <w:color w:val="000000"/>
                <w:sz w:val="24"/>
                <w:szCs w:val="24"/>
              </w:rPr>
              <w:t>0</w:t>
            </w:r>
          </w:p>
        </w:tc>
      </w:tr>
      <w:tr w14:paraId="4B46CA77">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13E79907">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w:t>
            </w:r>
          </w:p>
        </w:tc>
        <w:tc>
          <w:tcPr>
            <w:tcW w:w="1666" w:type="pct"/>
            <w:shd w:val="clear" w:color="auto" w:fill="auto"/>
          </w:tcPr>
          <w:p w14:paraId="72DD9256">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0</w:t>
            </w:r>
          </w:p>
        </w:tc>
        <w:tc>
          <w:tcPr>
            <w:tcW w:w="1666" w:type="pct"/>
            <w:shd w:val="clear" w:color="auto" w:fill="auto"/>
          </w:tcPr>
          <w:p w14:paraId="4550DA4E">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9</w:t>
            </w:r>
            <w:r>
              <w:rPr>
                <w:rFonts w:ascii="Times New Roman" w:hAnsi="Times New Roman" w:eastAsia="宋体" w:cs="Times New Roman"/>
                <w:color w:val="000000"/>
                <w:sz w:val="24"/>
                <w:szCs w:val="24"/>
              </w:rPr>
              <w:t>0</w:t>
            </w:r>
          </w:p>
        </w:tc>
      </w:tr>
      <w:tr w14:paraId="59EB134C">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25EFEAEC">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5</w:t>
            </w:r>
          </w:p>
        </w:tc>
        <w:tc>
          <w:tcPr>
            <w:tcW w:w="1666" w:type="pct"/>
            <w:shd w:val="clear" w:color="auto" w:fill="auto"/>
          </w:tcPr>
          <w:p w14:paraId="3E2D7B5B">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1</w:t>
            </w:r>
          </w:p>
        </w:tc>
        <w:tc>
          <w:tcPr>
            <w:tcW w:w="1666" w:type="pct"/>
            <w:shd w:val="clear" w:color="auto" w:fill="auto"/>
          </w:tcPr>
          <w:p w14:paraId="567A7922">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9</w:t>
            </w:r>
          </w:p>
        </w:tc>
      </w:tr>
      <w:tr w14:paraId="4E741A8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052B471F">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w:t>
            </w:r>
            <w:r>
              <w:rPr>
                <w:rFonts w:ascii="Times New Roman" w:hAnsi="Times New Roman" w:eastAsia="宋体" w:cs="Times New Roman"/>
                <w:color w:val="000000"/>
                <w:sz w:val="24"/>
                <w:szCs w:val="24"/>
              </w:rPr>
              <w:t>2</w:t>
            </w:r>
          </w:p>
        </w:tc>
        <w:tc>
          <w:tcPr>
            <w:tcW w:w="1666" w:type="pct"/>
            <w:shd w:val="clear" w:color="auto" w:fill="auto"/>
          </w:tcPr>
          <w:p w14:paraId="3672C13F">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4</w:t>
            </w:r>
          </w:p>
        </w:tc>
        <w:tc>
          <w:tcPr>
            <w:tcW w:w="1666" w:type="pct"/>
            <w:shd w:val="clear" w:color="auto" w:fill="auto"/>
          </w:tcPr>
          <w:p w14:paraId="002DF4A8">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6</w:t>
            </w:r>
          </w:p>
        </w:tc>
      </w:tr>
      <w:tr w14:paraId="775C04B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374D1000">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4</w:t>
            </w:r>
          </w:p>
        </w:tc>
        <w:tc>
          <w:tcPr>
            <w:tcW w:w="1666" w:type="pct"/>
            <w:shd w:val="clear" w:color="auto" w:fill="auto"/>
          </w:tcPr>
          <w:p w14:paraId="16D69E9B">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7</w:t>
            </w:r>
          </w:p>
        </w:tc>
        <w:tc>
          <w:tcPr>
            <w:tcW w:w="1666" w:type="pct"/>
            <w:shd w:val="clear" w:color="auto" w:fill="auto"/>
          </w:tcPr>
          <w:p w14:paraId="7EBA64D2">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3</w:t>
            </w:r>
          </w:p>
        </w:tc>
      </w:tr>
      <w:tr w14:paraId="07406279">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4BB65332">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r>
              <w:rPr>
                <w:rFonts w:ascii="Times New Roman" w:hAnsi="Times New Roman" w:eastAsia="宋体" w:cs="Times New Roman"/>
                <w:color w:val="000000"/>
                <w:sz w:val="24"/>
                <w:szCs w:val="24"/>
              </w:rPr>
              <w:t>5</w:t>
            </w:r>
          </w:p>
        </w:tc>
        <w:tc>
          <w:tcPr>
            <w:tcW w:w="1666" w:type="pct"/>
            <w:shd w:val="clear" w:color="auto" w:fill="auto"/>
          </w:tcPr>
          <w:p w14:paraId="644D00FD">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8</w:t>
            </w:r>
          </w:p>
        </w:tc>
        <w:tc>
          <w:tcPr>
            <w:tcW w:w="1666" w:type="pct"/>
            <w:shd w:val="clear" w:color="auto" w:fill="auto"/>
          </w:tcPr>
          <w:p w14:paraId="587F5016">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2</w:t>
            </w:r>
          </w:p>
        </w:tc>
      </w:tr>
      <w:tr w14:paraId="7227B8C5">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5056563B">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r>
              <w:rPr>
                <w:rFonts w:ascii="Times New Roman" w:hAnsi="Times New Roman" w:eastAsia="宋体" w:cs="Times New Roman"/>
                <w:color w:val="000000"/>
                <w:sz w:val="24"/>
                <w:szCs w:val="24"/>
              </w:rPr>
              <w:t>8</w:t>
            </w:r>
          </w:p>
        </w:tc>
        <w:tc>
          <w:tcPr>
            <w:tcW w:w="1666" w:type="pct"/>
            <w:shd w:val="clear" w:color="auto" w:fill="auto"/>
          </w:tcPr>
          <w:p w14:paraId="7B4FF413">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w:t>
            </w:r>
            <w:r>
              <w:rPr>
                <w:rFonts w:ascii="Times New Roman" w:hAnsi="Times New Roman" w:eastAsia="宋体" w:cs="Times New Roman"/>
                <w:color w:val="000000"/>
                <w:sz w:val="24"/>
                <w:szCs w:val="24"/>
              </w:rPr>
              <w:t>5</w:t>
            </w:r>
          </w:p>
        </w:tc>
        <w:tc>
          <w:tcPr>
            <w:tcW w:w="1666" w:type="pct"/>
            <w:shd w:val="clear" w:color="auto" w:fill="auto"/>
          </w:tcPr>
          <w:p w14:paraId="30659473">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7</w:t>
            </w:r>
            <w:r>
              <w:rPr>
                <w:rFonts w:ascii="Times New Roman" w:hAnsi="Times New Roman" w:eastAsia="宋体" w:cs="Times New Roman"/>
                <w:color w:val="000000"/>
                <w:sz w:val="24"/>
                <w:szCs w:val="24"/>
              </w:rPr>
              <w:t>5</w:t>
            </w:r>
          </w:p>
        </w:tc>
      </w:tr>
      <w:tr w14:paraId="16FA1669">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66" w:type="pct"/>
            <w:shd w:val="clear" w:color="auto" w:fill="auto"/>
          </w:tcPr>
          <w:p w14:paraId="0DE1584A">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w:t>
            </w:r>
            <w:r>
              <w:rPr>
                <w:rFonts w:ascii="Times New Roman" w:hAnsi="Times New Roman" w:eastAsia="宋体" w:cs="Times New Roman"/>
                <w:color w:val="000000"/>
                <w:sz w:val="24"/>
                <w:szCs w:val="24"/>
              </w:rPr>
              <w:t>0</w:t>
            </w:r>
          </w:p>
        </w:tc>
        <w:tc>
          <w:tcPr>
            <w:tcW w:w="1666" w:type="pct"/>
            <w:shd w:val="clear" w:color="auto" w:fill="auto"/>
          </w:tcPr>
          <w:p w14:paraId="7886E49D">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w:t>
            </w:r>
            <w:r>
              <w:rPr>
                <w:rFonts w:ascii="Times New Roman" w:hAnsi="Times New Roman" w:eastAsia="宋体" w:cs="Times New Roman"/>
                <w:color w:val="000000"/>
                <w:sz w:val="24"/>
                <w:szCs w:val="24"/>
              </w:rPr>
              <w:t>0</w:t>
            </w:r>
          </w:p>
        </w:tc>
        <w:tc>
          <w:tcPr>
            <w:tcW w:w="1666" w:type="pct"/>
            <w:shd w:val="clear" w:color="auto" w:fill="auto"/>
          </w:tcPr>
          <w:p w14:paraId="0619657D">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r>
              <w:rPr>
                <w:rFonts w:ascii="Times New Roman" w:hAnsi="Times New Roman" w:eastAsia="宋体" w:cs="Times New Roman"/>
                <w:color w:val="000000"/>
                <w:sz w:val="24"/>
                <w:szCs w:val="24"/>
              </w:rPr>
              <w:t>0</w:t>
            </w:r>
          </w:p>
        </w:tc>
      </w:tr>
    </w:tbl>
    <w:p w14:paraId="6A493DD0">
      <w:pPr>
        <w:spacing w:line="360" w:lineRule="auto"/>
        <w:ind w:firstLine="411" w:firstLineChars="196"/>
        <w:rPr>
          <w:rFonts w:hint="eastAsia" w:ascii="Times New Roman" w:hAnsi="Times New Roman" w:eastAsia="宋体" w:cs="Times New Roman"/>
        </w:rPr>
      </w:pPr>
    </w:p>
    <w:p w14:paraId="7C11B154">
      <w:pPr>
        <w:spacing w:line="360" w:lineRule="auto"/>
        <w:ind w:firstLine="472" w:firstLineChars="196"/>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 xml:space="preserve">参照物溶液的制备  </w:t>
      </w:r>
      <w:r>
        <w:rPr>
          <w:rFonts w:ascii="Times New Roman" w:hAnsi="Times New Roman" w:eastAsia="宋体" w:cs="Times New Roman"/>
          <w:color w:val="000000"/>
          <w:sz w:val="24"/>
          <w:szCs w:val="24"/>
        </w:rPr>
        <w:t>取千里光对照药材0.5g，加水25ml，加热回流1小时，放冷，滤过，滤液蒸干，残渣加50%甲醇25ml，加热回流1小时，放冷，滤过，取续滤液，作为对照药材参照物溶液；或取千里光配方颗粒对照提取物适量，加50%甲醇，超声处理（功率250W，频率40kHz）30分钟，制成每1ml含10mg的溶液，放冷，摇匀，滤过，取续滤液，作为配方颗粒对照提取物参照物溶液。另取新绿原酸对照品、绿原酸对照品、咖啡酸对照品、金丝桃苷对照品适量，加甲醇制成每1ml各含25μg的混合溶液，作为对照品参照物溶液。</w:t>
      </w:r>
    </w:p>
    <w:p w14:paraId="26CC902F">
      <w:pPr>
        <w:spacing w:line="360" w:lineRule="auto"/>
        <w:ind w:firstLine="472" w:firstLineChars="196"/>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 xml:space="preserve">供试品溶液的制备 </w:t>
      </w:r>
      <w:r>
        <w:rPr>
          <w:rFonts w:ascii="Times New Roman" w:hAnsi="Times New Roman" w:eastAsia="宋体" w:cs="Times New Roman"/>
          <w:color w:val="000000"/>
          <w:sz w:val="24"/>
          <w:szCs w:val="24"/>
        </w:rPr>
        <w:t xml:space="preserve"> 取本品适量，研细，取0.2g，加50%甲醇25ml，超声处理（功率250W，频率40kHz）30分钟，放冷，摇匀，滤过，取续滤液，即得。</w:t>
      </w:r>
    </w:p>
    <w:p w14:paraId="0829C0D3">
      <w:pPr>
        <w:spacing w:line="360" w:lineRule="auto"/>
        <w:ind w:firstLine="482" w:firstLineChars="200"/>
        <w:rPr>
          <w:rFonts w:ascii="Times New Roman" w:hAnsi="Times New Roman" w:eastAsia="宋体" w:cs="Times New Roman"/>
          <w:sz w:val="24"/>
          <w:szCs w:val="24"/>
        </w:rPr>
      </w:pPr>
      <w:r>
        <w:rPr>
          <w:rFonts w:ascii="Times New Roman" w:hAnsi="Times New Roman" w:eastAsia="宋体" w:cs="Times New Roman"/>
          <w:b/>
          <w:sz w:val="24"/>
          <w:szCs w:val="24"/>
        </w:rPr>
        <w:t xml:space="preserve">测定法  </w:t>
      </w:r>
      <w:r>
        <w:rPr>
          <w:rFonts w:ascii="Times New Roman" w:hAnsi="Times New Roman" w:eastAsia="宋体" w:cs="Times New Roman"/>
          <w:sz w:val="24"/>
          <w:szCs w:val="24"/>
        </w:rPr>
        <w:t>分别精密吸取参照物溶液与供试品溶液各10μl，注入液相色谱仪，测定，即得。</w:t>
      </w:r>
    </w:p>
    <w:p w14:paraId="143BA8B2">
      <w:pPr>
        <w:spacing w:line="360" w:lineRule="auto"/>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供试品色谱中应呈现与对照药材参照物或配方颗粒对照提取物参照物色谱</w:t>
      </w:r>
      <w:r>
        <w:rPr>
          <w:rFonts w:hint="eastAsia" w:ascii="Times New Roman" w:hAnsi="Times New Roman" w:eastAsia="宋体" w:cs="Times New Roman"/>
          <w:color w:val="000000"/>
          <w:sz w:val="24"/>
          <w:szCs w:val="24"/>
        </w:rPr>
        <w:t>图</w:t>
      </w:r>
      <w:r>
        <w:rPr>
          <w:rFonts w:ascii="Times New Roman" w:hAnsi="Times New Roman" w:eastAsia="宋体" w:cs="Times New Roman"/>
          <w:color w:val="000000"/>
          <w:sz w:val="24"/>
          <w:szCs w:val="24"/>
        </w:rPr>
        <w:t>中4个保留时间相对应</w:t>
      </w:r>
      <w:r>
        <w:rPr>
          <w:rFonts w:hint="eastAsia" w:ascii="Times New Roman" w:hAnsi="Times New Roman" w:eastAsia="宋体" w:cs="Times New Roman"/>
          <w:color w:val="000000"/>
          <w:sz w:val="24"/>
          <w:szCs w:val="24"/>
        </w:rPr>
        <w:t>的</w:t>
      </w:r>
      <w:r>
        <w:rPr>
          <w:rFonts w:ascii="Times New Roman" w:hAnsi="Times New Roman" w:eastAsia="宋体" w:cs="Times New Roman"/>
          <w:color w:val="000000"/>
          <w:sz w:val="24"/>
          <w:szCs w:val="24"/>
        </w:rPr>
        <w:t>特征峰，且峰1~4应分别与相应对照品参照物峰</w:t>
      </w:r>
      <w:r>
        <w:rPr>
          <w:rFonts w:hint="eastAsia" w:ascii="Times New Roman" w:hAnsi="Times New Roman" w:eastAsia="宋体" w:cs="Times New Roman"/>
          <w:color w:val="000000"/>
          <w:sz w:val="24"/>
          <w:szCs w:val="24"/>
        </w:rPr>
        <w:t>的</w:t>
      </w:r>
      <w:r>
        <w:rPr>
          <w:rFonts w:ascii="Times New Roman" w:hAnsi="Times New Roman" w:eastAsia="宋体" w:cs="Times New Roman"/>
          <w:color w:val="000000"/>
          <w:sz w:val="24"/>
          <w:szCs w:val="24"/>
        </w:rPr>
        <w:t>保留时间相对应。</w:t>
      </w:r>
    </w:p>
    <w:p w14:paraId="3369AA7B">
      <w:pPr>
        <w:spacing w:line="360" w:lineRule="auto"/>
        <w:ind w:firstLine="480" w:firstLineChars="200"/>
        <w:rPr>
          <w:rFonts w:ascii="Times New Roman" w:hAnsi="Times New Roman" w:eastAsia="宋体" w:cs="Times New Roman"/>
          <w:color w:val="000000"/>
          <w:sz w:val="24"/>
          <w:szCs w:val="24"/>
        </w:rPr>
      </w:pPr>
    </w:p>
    <w:p w14:paraId="7E9BB369">
      <w:pPr>
        <w:widowControl/>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rPr>
        <w:drawing>
          <wp:inline distT="0" distB="0" distL="0" distR="0">
            <wp:extent cx="4799965" cy="195199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800000" cy="1952381"/>
                    </a:xfrm>
                    <a:prstGeom prst="rect">
                      <a:avLst/>
                    </a:prstGeom>
                  </pic:spPr>
                </pic:pic>
              </a:graphicData>
            </a:graphic>
          </wp:inline>
        </w:drawing>
      </w:r>
    </w:p>
    <w:p w14:paraId="13CB0DE8">
      <w:pPr>
        <w:autoSpaceDE w:val="0"/>
        <w:autoSpaceDN w:val="0"/>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对照特征图谱</w:t>
      </w:r>
    </w:p>
    <w:p w14:paraId="71B0A52B">
      <w:pPr>
        <w:autoSpaceDE w:val="0"/>
        <w:autoSpaceDN w:val="0"/>
        <w:spacing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峰1：新绿原酸</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峰2：绿原酸</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峰3：咖啡酸</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峰4：金丝桃苷</w:t>
      </w:r>
    </w:p>
    <w:p w14:paraId="212F1DC8">
      <w:pPr>
        <w:spacing w:line="240" w:lineRule="auto"/>
        <w:jc w:val="center"/>
        <w:rPr>
          <w:rFonts w:hint="eastAsia" w:ascii="Times New Roman" w:hAnsi="Times New Roman" w:eastAsia="宋体" w:cs="Times New Roman"/>
          <w:sz w:val="21"/>
          <w:szCs w:val="21"/>
        </w:rPr>
      </w:pPr>
      <w:r>
        <w:rPr>
          <w:rFonts w:ascii="Times New Roman" w:hAnsi="Times New Roman" w:eastAsia="宋体" w:cs="Times New Roman"/>
          <w:sz w:val="21"/>
          <w:szCs w:val="21"/>
        </w:rPr>
        <w:t>参考色谱柱：HSS T3</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rPr>
        <w:t>4.6mm×250mm，5μm</w:t>
      </w:r>
      <w:r>
        <w:rPr>
          <w:rFonts w:hint="eastAsia" w:ascii="Times New Roman" w:hAnsi="Times New Roman" w:eastAsia="宋体" w:cs="Times New Roman"/>
          <w:sz w:val="21"/>
          <w:szCs w:val="21"/>
          <w:lang w:eastAsia="zh-CN"/>
        </w:rPr>
        <w:t>）</w:t>
      </w:r>
    </w:p>
    <w:p w14:paraId="7E3BAEBB">
      <w:pPr>
        <w:spacing w:line="360" w:lineRule="auto"/>
        <w:ind w:firstLine="480" w:firstLineChars="200"/>
        <w:rPr>
          <w:rFonts w:ascii="Times New Roman" w:hAnsi="Times New Roman" w:eastAsia="宋体" w:cs="Times New Roman"/>
          <w:sz w:val="24"/>
          <w:szCs w:val="21"/>
        </w:rPr>
      </w:pPr>
      <w:r>
        <w:rPr>
          <w:rFonts w:ascii="Times New Roman" w:hAnsi="Times New Roman" w:eastAsia="宋体" w:cs="Times New Roman"/>
          <w:sz w:val="24"/>
          <w:szCs w:val="21"/>
        </w:rPr>
        <w:t xml:space="preserve">【检查】 </w:t>
      </w:r>
      <w:r>
        <w:rPr>
          <w:rFonts w:hint="eastAsia" w:ascii="Times New Roman" w:hAnsi="Times New Roman" w:eastAsia="宋体" w:cs="Times New Roman"/>
          <w:sz w:val="24"/>
          <w:szCs w:val="21"/>
          <w:lang w:val="en-US" w:eastAsia="zh-CN"/>
        </w:rPr>
        <w:t xml:space="preserve"> </w:t>
      </w:r>
      <w:r>
        <w:rPr>
          <w:rFonts w:ascii="Times New Roman" w:hAnsi="Times New Roman" w:eastAsia="宋体" w:cs="Times New Roman"/>
          <w:b/>
          <w:sz w:val="24"/>
          <w:szCs w:val="21"/>
        </w:rPr>
        <w:t>阿多尼弗林碱</w:t>
      </w:r>
      <w:r>
        <w:rPr>
          <w:rFonts w:ascii="Times New Roman" w:hAnsi="Times New Roman" w:eastAsia="宋体" w:cs="Times New Roman"/>
          <w:sz w:val="24"/>
          <w:szCs w:val="21"/>
        </w:rPr>
        <w:t xml:space="preserve">  照高效液相色谱-质谱法（中国药典 通则0512和通则0431）测定。</w:t>
      </w:r>
    </w:p>
    <w:p w14:paraId="735F007E">
      <w:pPr>
        <w:spacing w:line="360" w:lineRule="auto"/>
        <w:ind w:firstLine="482" w:firstLineChars="200"/>
        <w:rPr>
          <w:rFonts w:ascii="Times New Roman" w:hAnsi="Times New Roman" w:eastAsia="宋体" w:cs="Times New Roman"/>
          <w:sz w:val="24"/>
          <w:szCs w:val="21"/>
        </w:rPr>
      </w:pPr>
      <w:r>
        <w:rPr>
          <w:rFonts w:ascii="Times New Roman" w:hAnsi="Times New Roman" w:eastAsia="宋体" w:cs="Times New Roman"/>
          <w:b/>
          <w:sz w:val="24"/>
          <w:szCs w:val="21"/>
        </w:rPr>
        <w:t>色谱、质谱条件与系统适用性试验</w:t>
      </w:r>
      <w:r>
        <w:rPr>
          <w:rFonts w:ascii="Times New Roman" w:hAnsi="Times New Roman" w:eastAsia="宋体" w:cs="Times New Roman"/>
          <w:sz w:val="24"/>
          <w:szCs w:val="21"/>
        </w:rPr>
        <w:t xml:space="preserve">  以十八烷基硅烷键合硅胶为填充剂（柱长为150mm，内径为2.1mm，粒径为1.8μm）；以乙腈-0.5%甲酸溶液（7︰93）为流动相；流速为0.3ml/</w:t>
      </w:r>
      <w:r>
        <w:rPr>
          <w:rFonts w:hint="eastAsia" w:ascii="Times New Roman" w:hAnsi="Times New Roman" w:eastAsia="宋体" w:cs="Times New Roman"/>
          <w:sz w:val="24"/>
          <w:szCs w:val="21"/>
        </w:rPr>
        <w:t>min</w:t>
      </w:r>
      <w:r>
        <w:rPr>
          <w:rFonts w:ascii="Times New Roman" w:hAnsi="Times New Roman" w:eastAsia="宋体" w:cs="Times New Roman"/>
          <w:sz w:val="24"/>
          <w:szCs w:val="21"/>
        </w:rPr>
        <w:t>，柱温为30℃；采用单级四极杆质谱检测器，电喷雾离子化（ESI）正离子模式下选择质荷比（m/z）为366离子进行检测。理论板数按阿多尼弗林碱峰计应不低于8000。</w:t>
      </w:r>
    </w:p>
    <w:p w14:paraId="220CAB88">
      <w:pPr>
        <w:spacing w:line="360" w:lineRule="auto"/>
        <w:ind w:firstLine="482" w:firstLineChars="200"/>
        <w:rPr>
          <w:rFonts w:ascii="Times New Roman" w:hAnsi="Times New Roman" w:eastAsia="宋体" w:cs="Times New Roman"/>
          <w:sz w:val="24"/>
          <w:szCs w:val="21"/>
        </w:rPr>
      </w:pPr>
      <w:r>
        <w:rPr>
          <w:rFonts w:ascii="Times New Roman" w:hAnsi="Times New Roman" w:eastAsia="宋体" w:cs="Times New Roman"/>
          <w:b/>
          <w:sz w:val="24"/>
          <w:szCs w:val="21"/>
        </w:rPr>
        <w:t>校正因子测定</w:t>
      </w:r>
      <w:r>
        <w:rPr>
          <w:rFonts w:ascii="Times New Roman" w:hAnsi="Times New Roman" w:eastAsia="宋体" w:cs="Times New Roman"/>
          <w:sz w:val="24"/>
          <w:szCs w:val="21"/>
        </w:rPr>
        <w:t xml:space="preserve">  取野百合碱对照品适量，精密称定，加0.5%甲酸溶液制成每1ml含0.2μg的溶液，作为内标溶液。另取阿多尼弗林碱对照品适量，精密称定，加0.5%甲酸溶液制成每1ml含0.1μg的溶液，作为对照品溶液。精密量取对照品溶液2ml，置5ml量瓶中，精密加入内标溶液1ml，用0.5%甲酸溶液稀释至刻度，摇匀，吸取2μl，注入液相色谱-质谱联用仪，计算校正因子。</w:t>
      </w:r>
    </w:p>
    <w:p w14:paraId="5496AA67">
      <w:pPr>
        <w:spacing w:line="360" w:lineRule="auto"/>
        <w:ind w:firstLine="482" w:firstLineChars="200"/>
        <w:rPr>
          <w:rFonts w:ascii="Times New Roman" w:hAnsi="Times New Roman" w:eastAsia="宋体" w:cs="Times New Roman"/>
          <w:sz w:val="24"/>
          <w:szCs w:val="21"/>
        </w:rPr>
      </w:pPr>
      <w:r>
        <w:rPr>
          <w:rFonts w:ascii="Times New Roman" w:hAnsi="Times New Roman" w:eastAsia="宋体" w:cs="Times New Roman"/>
          <w:b/>
          <w:sz w:val="24"/>
          <w:szCs w:val="21"/>
        </w:rPr>
        <w:t>测定法</w:t>
      </w:r>
      <w:r>
        <w:rPr>
          <w:rFonts w:ascii="Times New Roman" w:hAnsi="Times New Roman" w:eastAsia="宋体" w:cs="Times New Roman"/>
          <w:sz w:val="24"/>
          <w:szCs w:val="21"/>
        </w:rPr>
        <w:t xml:space="preserve">  取本品适量，研细，取约0.2g，精密称定，置具塞锥形瓶中，精密加入0.5%甲酸溶液50ml，称定重量，超声处理（功率250W，频率40kHz）40分钟，放冷，再称定重量，用0.5%甲酸溶液补足减失的重量，摇匀，滤过，精密量取续滤液2ml，置5ml量瓶中，精密加入内标溶液1ml，用0.5%甲酸溶液稀释至刻度，摇匀，吸取2μl，注入液相色谱-质谱联用仪，测定，即得。</w:t>
      </w:r>
    </w:p>
    <w:p w14:paraId="00E8FD50">
      <w:pPr>
        <w:spacing w:line="360" w:lineRule="auto"/>
        <w:ind w:firstLine="480" w:firstLineChars="200"/>
        <w:rPr>
          <w:rFonts w:ascii="Times New Roman" w:hAnsi="Times New Roman" w:eastAsia="宋体" w:cs="Times New Roman"/>
          <w:sz w:val="24"/>
          <w:szCs w:val="21"/>
        </w:rPr>
      </w:pPr>
      <w:r>
        <w:rPr>
          <w:rFonts w:ascii="Times New Roman" w:hAnsi="Times New Roman" w:eastAsia="宋体" w:cs="Times New Roman"/>
          <w:sz w:val="24"/>
          <w:szCs w:val="21"/>
        </w:rPr>
        <w:t>本品每1g含阿多尼弗林碱（C</w:t>
      </w:r>
      <w:r>
        <w:rPr>
          <w:rFonts w:ascii="Times New Roman" w:hAnsi="Times New Roman" w:eastAsia="宋体" w:cs="Times New Roman"/>
          <w:sz w:val="24"/>
          <w:szCs w:val="21"/>
          <w:vertAlign w:val="subscript"/>
        </w:rPr>
        <w:t>18</w:t>
      </w:r>
      <w:r>
        <w:rPr>
          <w:rFonts w:ascii="Times New Roman" w:hAnsi="Times New Roman" w:eastAsia="宋体" w:cs="Times New Roman"/>
          <w:sz w:val="24"/>
          <w:szCs w:val="21"/>
        </w:rPr>
        <w:t>H</w:t>
      </w:r>
      <w:r>
        <w:rPr>
          <w:rFonts w:ascii="Times New Roman" w:hAnsi="Times New Roman" w:eastAsia="宋体" w:cs="Times New Roman"/>
          <w:sz w:val="24"/>
          <w:szCs w:val="21"/>
          <w:vertAlign w:val="subscript"/>
        </w:rPr>
        <w:t>23</w:t>
      </w:r>
      <w:r>
        <w:rPr>
          <w:rFonts w:ascii="Times New Roman" w:hAnsi="Times New Roman" w:eastAsia="宋体" w:cs="Times New Roman"/>
          <w:sz w:val="24"/>
          <w:szCs w:val="21"/>
        </w:rPr>
        <w:t>NO</w:t>
      </w:r>
      <w:r>
        <w:rPr>
          <w:rFonts w:ascii="Times New Roman" w:hAnsi="Times New Roman" w:eastAsia="宋体" w:cs="Times New Roman"/>
          <w:sz w:val="24"/>
          <w:szCs w:val="21"/>
          <w:vertAlign w:val="subscript"/>
        </w:rPr>
        <w:t>7</w:t>
      </w:r>
      <w:r>
        <w:rPr>
          <w:rFonts w:ascii="Times New Roman" w:hAnsi="Times New Roman" w:eastAsia="宋体" w:cs="Times New Roman"/>
          <w:sz w:val="24"/>
          <w:szCs w:val="21"/>
        </w:rPr>
        <w:t>）不得过0.016%。</w:t>
      </w:r>
    </w:p>
    <w:p w14:paraId="1A2D7E55">
      <w:pPr>
        <w:spacing w:line="360" w:lineRule="auto"/>
        <w:ind w:firstLine="482" w:firstLineChars="200"/>
        <w:rPr>
          <w:rFonts w:ascii="Times New Roman" w:hAnsi="Times New Roman" w:eastAsia="宋体" w:cs="Times New Roman"/>
          <w:bCs/>
          <w:sz w:val="24"/>
          <w:szCs w:val="21"/>
        </w:rPr>
      </w:pPr>
      <w:r>
        <w:rPr>
          <w:rFonts w:hint="eastAsia" w:ascii="Times New Roman" w:hAnsi="Times New Roman" w:eastAsia="宋体" w:cs="Times New Roman"/>
          <w:b/>
          <w:bCs/>
          <w:sz w:val="24"/>
          <w:szCs w:val="21"/>
        </w:rPr>
        <w:t>其他</w:t>
      </w:r>
      <w:r>
        <w:rPr>
          <w:rFonts w:hint="eastAsia" w:ascii="Times New Roman" w:hAnsi="Times New Roman" w:eastAsia="宋体" w:cs="Times New Roman"/>
          <w:bCs/>
          <w:sz w:val="24"/>
          <w:szCs w:val="21"/>
        </w:rPr>
        <w:t xml:space="preserve"> </w:t>
      </w:r>
      <w:r>
        <w:rPr>
          <w:rFonts w:ascii="Times New Roman" w:hAnsi="Times New Roman" w:eastAsia="宋体" w:cs="Times New Roman"/>
          <w:bCs/>
          <w:sz w:val="24"/>
          <w:szCs w:val="21"/>
        </w:rPr>
        <w:t xml:space="preserve"> 应符合颗粒剂项下有关的各项规定（中国药典 通则0104）。</w:t>
      </w:r>
    </w:p>
    <w:p w14:paraId="299E82FF">
      <w:pPr>
        <w:spacing w:line="360" w:lineRule="auto"/>
        <w:ind w:firstLine="480" w:firstLineChars="200"/>
        <w:rPr>
          <w:rFonts w:ascii="Times New Roman" w:hAnsi="Times New Roman" w:eastAsia="宋体" w:cs="Times New Roman"/>
          <w:bCs/>
          <w:sz w:val="24"/>
          <w:szCs w:val="21"/>
        </w:rPr>
      </w:pPr>
      <w:r>
        <w:rPr>
          <w:rFonts w:ascii="Times New Roman" w:hAnsi="Times New Roman" w:eastAsia="宋体" w:cs="Times New Roman"/>
          <w:color w:val="000000"/>
          <w:sz w:val="24"/>
          <w:szCs w:val="24"/>
        </w:rPr>
        <w:t>【</w:t>
      </w:r>
      <w:r>
        <w:rPr>
          <w:rFonts w:ascii="Times New Roman" w:hAnsi="Times New Roman" w:eastAsia="宋体" w:cs="Times New Roman"/>
          <w:b/>
          <w:bCs/>
          <w:color w:val="000000"/>
          <w:sz w:val="24"/>
          <w:szCs w:val="24"/>
        </w:rPr>
        <w:t>浸出物</w:t>
      </w: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宋体" w:cs="Times New Roman"/>
          <w:bCs/>
          <w:sz w:val="24"/>
          <w:szCs w:val="21"/>
        </w:rPr>
        <w:t>取本品适量，研细，取约2g，精密称定，精密加入乙醇100ml，照醇溶性浸出物测定法（中国药典 通则2201）项下的热浸法测定，不得少于18.0%。</w:t>
      </w:r>
    </w:p>
    <w:p w14:paraId="5C9E7987">
      <w:pPr>
        <w:spacing w:line="360" w:lineRule="auto"/>
        <w:ind w:firstLine="480" w:firstLineChars="200"/>
        <w:rPr>
          <w:rFonts w:ascii="Times New Roman" w:hAnsi="Times New Roman" w:eastAsia="宋体" w:cs="Times New Roman"/>
          <w:bCs/>
          <w:sz w:val="24"/>
          <w:szCs w:val="21"/>
        </w:rPr>
      </w:pPr>
      <w:r>
        <w:rPr>
          <w:rFonts w:ascii="Times New Roman" w:hAnsi="Times New Roman" w:eastAsia="宋体" w:cs="Times New Roman"/>
          <w:color w:val="000000"/>
          <w:sz w:val="24"/>
          <w:szCs w:val="24"/>
        </w:rPr>
        <w:t>【</w:t>
      </w:r>
      <w:r>
        <w:rPr>
          <w:rFonts w:ascii="Times New Roman" w:hAnsi="Times New Roman" w:eastAsia="宋体" w:cs="Times New Roman"/>
          <w:b/>
          <w:bCs/>
          <w:color w:val="000000"/>
          <w:sz w:val="24"/>
          <w:szCs w:val="24"/>
        </w:rPr>
        <w:t>含量测定</w:t>
      </w: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宋体" w:cs="Times New Roman"/>
          <w:color w:val="000000"/>
          <w:sz w:val="24"/>
          <w:szCs w:val="24"/>
        </w:rPr>
        <w:t>照高效液相色谱法（中国药典 通则0512）测定。</w:t>
      </w:r>
    </w:p>
    <w:p w14:paraId="697BEB1C">
      <w:pPr>
        <w:spacing w:line="360" w:lineRule="auto"/>
        <w:ind w:firstLine="472" w:firstLineChars="196"/>
        <w:jc w:val="left"/>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 xml:space="preserve">色谱条件与系统适用性试验  </w:t>
      </w:r>
      <w:r>
        <w:rPr>
          <w:rFonts w:ascii="Times New Roman" w:hAnsi="Times New Roman" w:eastAsia="宋体" w:cs="Times New Roman"/>
          <w:color w:val="000000"/>
          <w:sz w:val="24"/>
          <w:szCs w:val="24"/>
        </w:rPr>
        <w:t>以十八烷基硅烷键合硅胶为填充剂（柱长为100mm，内径为2.1mm，粒径为1.8μm）；以乙腈-0.1%磷酸溶液（15︰85）为流动相；流速为0.3ml/min；柱温为30℃；检测波长为360nm。理论板数按金丝桃苷峰计应不低于8000。</w:t>
      </w:r>
    </w:p>
    <w:p w14:paraId="09B918B9">
      <w:pPr>
        <w:spacing w:line="360" w:lineRule="auto"/>
        <w:ind w:firstLine="472" w:firstLineChars="196"/>
        <w:jc w:val="left"/>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对照品溶液的制备</w:t>
      </w:r>
      <w:r>
        <w:rPr>
          <w:rFonts w:ascii="Times New Roman" w:hAnsi="Times New Roman" w:eastAsia="宋体" w:cs="Times New Roman"/>
          <w:color w:val="000000"/>
          <w:sz w:val="24"/>
          <w:szCs w:val="24"/>
        </w:rPr>
        <w:t xml:space="preserve">  取金丝桃苷对照品适量，精密称定，加75%甲醇制成每1ml含40μg的溶液，即得。</w:t>
      </w:r>
    </w:p>
    <w:p w14:paraId="5289FD21">
      <w:pPr>
        <w:spacing w:line="360" w:lineRule="auto"/>
        <w:ind w:firstLine="472" w:firstLineChars="196"/>
        <w:jc w:val="left"/>
        <w:rPr>
          <w:rFonts w:ascii="Times New Roman" w:hAnsi="Times New Roman" w:eastAsia="宋体" w:cs="Times New Roman"/>
          <w:sz w:val="24"/>
        </w:rPr>
      </w:pPr>
      <w:r>
        <w:rPr>
          <w:rFonts w:ascii="Times New Roman" w:hAnsi="Times New Roman" w:eastAsia="宋体" w:cs="Times New Roman"/>
          <w:b/>
          <w:color w:val="000000"/>
          <w:sz w:val="24"/>
          <w:szCs w:val="24"/>
        </w:rPr>
        <w:t>供试品溶液的制备</w:t>
      </w:r>
      <w:r>
        <w:rPr>
          <w:rFonts w:ascii="Times New Roman" w:hAnsi="Times New Roman" w:eastAsia="宋体" w:cs="Times New Roman"/>
          <w:color w:val="000000"/>
          <w:sz w:val="24"/>
          <w:szCs w:val="24"/>
        </w:rPr>
        <w:t xml:space="preserve">  </w:t>
      </w:r>
      <w:r>
        <w:rPr>
          <w:rFonts w:ascii="Times New Roman" w:hAnsi="Times New Roman" w:eastAsia="宋体" w:cs="Times New Roman"/>
          <w:sz w:val="24"/>
        </w:rPr>
        <w:t>取本品适量，研细，取约0.2g，精密称定，置具塞锥形瓶中，精密加入75%甲醇15ml，称定重量，超声处理（功率300W，频率40kHz）40分钟，放冷，再称定重量，用75%甲醇补足减失的重量，摇匀，滤过，取续滤液，即得。</w:t>
      </w:r>
    </w:p>
    <w:p w14:paraId="14B9E1F9">
      <w:pPr>
        <w:spacing w:line="360" w:lineRule="auto"/>
        <w:ind w:firstLine="472" w:firstLineChars="196"/>
        <w:jc w:val="left"/>
        <w:rPr>
          <w:rFonts w:ascii="Times New Roman" w:hAnsi="Times New Roman" w:eastAsia="宋体" w:cs="Times New Roman"/>
          <w:color w:val="000000"/>
          <w:sz w:val="24"/>
          <w:szCs w:val="24"/>
        </w:rPr>
      </w:pPr>
      <w:r>
        <w:rPr>
          <w:rFonts w:ascii="Times New Roman" w:hAnsi="Times New Roman" w:eastAsia="宋体" w:cs="Times New Roman"/>
          <w:b/>
          <w:color w:val="000000"/>
          <w:sz w:val="24"/>
          <w:szCs w:val="24"/>
        </w:rPr>
        <w:t>测定法</w:t>
      </w:r>
      <w:r>
        <w:rPr>
          <w:rFonts w:ascii="Times New Roman" w:hAnsi="Times New Roman" w:eastAsia="宋体" w:cs="Times New Roman"/>
          <w:color w:val="000000"/>
          <w:sz w:val="24"/>
          <w:szCs w:val="24"/>
        </w:rPr>
        <w:t xml:space="preserve">  分别精密吸取对照品溶液与供试品溶液各1μl，注入液相色谱仪，测定，即得。</w:t>
      </w:r>
    </w:p>
    <w:p w14:paraId="30BD9703">
      <w:pPr>
        <w:spacing w:line="360" w:lineRule="auto"/>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本品每1g含金丝桃苷（C</w:t>
      </w:r>
      <w:r>
        <w:rPr>
          <w:rFonts w:ascii="Times New Roman" w:hAnsi="Times New Roman" w:eastAsia="宋体" w:cs="Times New Roman"/>
          <w:color w:val="000000"/>
          <w:sz w:val="24"/>
          <w:szCs w:val="24"/>
          <w:vertAlign w:val="subscript"/>
        </w:rPr>
        <w:t>21</w:t>
      </w:r>
      <w:r>
        <w:rPr>
          <w:rFonts w:ascii="Times New Roman" w:hAnsi="Times New Roman" w:eastAsia="宋体" w:cs="Times New Roman"/>
          <w:color w:val="000000"/>
          <w:sz w:val="24"/>
          <w:szCs w:val="24"/>
        </w:rPr>
        <w:t>H</w:t>
      </w:r>
      <w:r>
        <w:rPr>
          <w:rFonts w:ascii="Times New Roman" w:hAnsi="Times New Roman" w:eastAsia="宋体" w:cs="Times New Roman"/>
          <w:color w:val="000000"/>
          <w:sz w:val="24"/>
          <w:szCs w:val="24"/>
          <w:vertAlign w:val="subscript"/>
        </w:rPr>
        <w:t>20</w:t>
      </w:r>
      <w:r>
        <w:rPr>
          <w:rFonts w:ascii="Times New Roman" w:hAnsi="Times New Roman" w:eastAsia="宋体" w:cs="Times New Roman"/>
          <w:color w:val="000000"/>
          <w:sz w:val="24"/>
          <w:szCs w:val="24"/>
        </w:rPr>
        <w:t>O</w:t>
      </w:r>
      <w:r>
        <w:rPr>
          <w:rFonts w:ascii="Times New Roman" w:hAnsi="Times New Roman" w:eastAsia="宋体" w:cs="Times New Roman"/>
          <w:color w:val="000000"/>
          <w:sz w:val="24"/>
          <w:szCs w:val="24"/>
          <w:vertAlign w:val="subscript"/>
        </w:rPr>
        <w:t>12</w:t>
      </w:r>
      <w:r>
        <w:rPr>
          <w:rFonts w:ascii="Times New Roman" w:hAnsi="Times New Roman" w:eastAsia="宋体" w:cs="Times New Roman"/>
          <w:color w:val="000000"/>
          <w:sz w:val="24"/>
          <w:szCs w:val="24"/>
        </w:rPr>
        <w:t>）应为0.30~3.00mg。</w:t>
      </w:r>
    </w:p>
    <w:p w14:paraId="02B57F84">
      <w:pPr>
        <w:spacing w:line="360" w:lineRule="auto"/>
        <w:ind w:firstLine="480" w:firstLineChars="200"/>
        <w:rPr>
          <w:rFonts w:ascii="Times New Roman" w:hAnsi="Times New Roman" w:eastAsia="宋体" w:cs="Times New Roman"/>
          <w:sz w:val="24"/>
          <w:szCs w:val="21"/>
        </w:rPr>
      </w:pPr>
      <w:r>
        <w:rPr>
          <w:rFonts w:ascii="Times New Roman" w:hAnsi="Times New Roman" w:eastAsia="宋体" w:cs="Times New Roman"/>
          <w:sz w:val="24"/>
          <w:szCs w:val="21"/>
        </w:rPr>
        <w:t xml:space="preserve">【规格】 </w:t>
      </w:r>
      <w:r>
        <w:rPr>
          <w:rFonts w:hint="eastAsia" w:ascii="Times New Roman" w:hAnsi="Times New Roman" w:eastAsia="宋体" w:cs="Times New Roman"/>
          <w:sz w:val="24"/>
          <w:szCs w:val="21"/>
          <w:lang w:val="en-US" w:eastAsia="zh-CN"/>
        </w:rPr>
        <w:t xml:space="preserve"> </w:t>
      </w:r>
      <w:r>
        <w:rPr>
          <w:rFonts w:ascii="Times New Roman" w:hAnsi="Times New Roman" w:eastAsia="宋体" w:cs="Times New Roman"/>
          <w:sz w:val="24"/>
          <w:szCs w:val="21"/>
        </w:rPr>
        <w:t>每1g配方颗粒相当于饮片5g</w:t>
      </w:r>
    </w:p>
    <w:p w14:paraId="1529B6A2">
      <w:pPr>
        <w:spacing w:line="360" w:lineRule="auto"/>
        <w:ind w:firstLine="465" w:firstLineChars="194"/>
        <w:rPr>
          <w:rFonts w:ascii="Times New Roman" w:hAnsi="Times New Roman" w:eastAsia="宋体" w:cs="Times New Roman"/>
          <w:sz w:val="24"/>
          <w:szCs w:val="21"/>
        </w:rPr>
      </w:pPr>
      <w:r>
        <w:rPr>
          <w:rFonts w:ascii="Times New Roman" w:hAnsi="Times New Roman" w:eastAsia="宋体" w:cs="Times New Roman"/>
          <w:sz w:val="24"/>
          <w:szCs w:val="21"/>
        </w:rPr>
        <w:t xml:space="preserve">【贮藏】 </w:t>
      </w:r>
      <w:r>
        <w:rPr>
          <w:rFonts w:hint="eastAsia" w:ascii="Times New Roman" w:hAnsi="Times New Roman" w:eastAsia="宋体" w:cs="Times New Roman"/>
          <w:sz w:val="24"/>
          <w:szCs w:val="21"/>
          <w:lang w:val="en-US" w:eastAsia="zh-CN"/>
        </w:rPr>
        <w:t xml:space="preserve"> </w:t>
      </w:r>
      <w:r>
        <w:rPr>
          <w:rFonts w:ascii="Times New Roman" w:hAnsi="Times New Roman" w:eastAsia="宋体" w:cs="Times New Roman"/>
          <w:sz w:val="24"/>
          <w:szCs w:val="21"/>
        </w:rPr>
        <w:t>密封。</w:t>
      </w:r>
    </w:p>
    <w:p w14:paraId="1F3E5E4E">
      <w:pPr>
        <w:spacing w:line="360" w:lineRule="auto"/>
        <w:ind w:firstLine="480" w:firstLineChars="200"/>
        <w:rPr>
          <w:rFonts w:ascii="Times New Roman" w:hAnsi="Times New Roman" w:eastAsia="宋体" w:cs="Times New Roman"/>
          <w:sz w:val="24"/>
          <w:szCs w:val="24"/>
        </w:rPr>
      </w:pPr>
    </w:p>
    <w:p w14:paraId="42B8BFBF">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FFC4F">
    <w:pPr>
      <w:pBdr>
        <w:bottom w:val="single" w:color="auto" w:sz="6" w:space="1"/>
      </w:pBdr>
      <w:tabs>
        <w:tab w:val="center" w:pos="4153"/>
        <w:tab w:val="right" w:pos="8306"/>
      </w:tabs>
      <w:snapToGrid w:val="0"/>
      <w:jc w:val="center"/>
      <w:rPr>
        <w:rFonts w:ascii="Times New Roman" w:hAnsi="Times New Roman" w:eastAsia="宋体" w:cs="黑体"/>
        <w:sz w:val="18"/>
      </w:rPr>
    </w:pPr>
    <w:r>
      <w:rPr>
        <w:rFonts w:ascii="Times New Roman" w:hAnsi="Times New Roman" w:eastAsia="宋体" w:cs="黑体"/>
        <w:sz w:val="18"/>
      </w:rPr>
      <w:pict>
        <v:shape id="PowerPlusWaterMarkObject65224" o:spid="_x0000_s2050" o:spt="136" type="#_x0000_t136" style="position:absolute;left:0pt;height:39.05pt;width:548.2pt;mso-position-horizontal:center;mso-position-horizontal-relative:margin;mso-position-vertical:center;mso-position-vertical-relative:margin;rotation:-2949120f;z-index:-251657216;mso-width-relative:page;mso-height-relative:page;" fillcolor="#C0C0C0" filled="t" stroked="f" coordsize="21600,21600">
          <v:path/>
          <v:fill on="t" opacity="32768f" focussize="0,0"/>
          <v:stroke on="f"/>
          <v:imagedata o:title=""/>
          <o:lock v:ext="edit" aspectratio="t"/>
          <v:textpath on="t" fitshape="t" fitpath="t" trim="t" xscale="f" string="江苏省中药配方颗粒质量标准公示稿" style="font-family:宋体;font-size:36pt;v-text-align:center;"/>
        </v:shape>
      </w:pict>
    </w:r>
    <w:r>
      <w:rPr>
        <w:rFonts w:hint="eastAsia" w:ascii="Calibri" w:hAnsi="Calibri" w:eastAsia="宋体" w:cs="Times New Roman"/>
        <w:sz w:val="28"/>
        <w:szCs w:val="28"/>
      </w:rPr>
      <w:t>江苏省中药配方颗粒质量标准公示稿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AB4"/>
    <w:rsid w:val="00016287"/>
    <w:rsid w:val="00036F75"/>
    <w:rsid w:val="000976FD"/>
    <w:rsid w:val="000A2071"/>
    <w:rsid w:val="000B4D9A"/>
    <w:rsid w:val="000C5730"/>
    <w:rsid w:val="00107655"/>
    <w:rsid w:val="00107F9E"/>
    <w:rsid w:val="00115B57"/>
    <w:rsid w:val="001326E7"/>
    <w:rsid w:val="001B76FE"/>
    <w:rsid w:val="0021093E"/>
    <w:rsid w:val="00230802"/>
    <w:rsid w:val="002468DA"/>
    <w:rsid w:val="00276645"/>
    <w:rsid w:val="00287B21"/>
    <w:rsid w:val="00291B5F"/>
    <w:rsid w:val="002E46BE"/>
    <w:rsid w:val="00392709"/>
    <w:rsid w:val="00410E00"/>
    <w:rsid w:val="00456B21"/>
    <w:rsid w:val="004B4934"/>
    <w:rsid w:val="004D2025"/>
    <w:rsid w:val="004D2149"/>
    <w:rsid w:val="00500DCD"/>
    <w:rsid w:val="005A52D8"/>
    <w:rsid w:val="005E4699"/>
    <w:rsid w:val="005F5EB1"/>
    <w:rsid w:val="006064E5"/>
    <w:rsid w:val="00610AB1"/>
    <w:rsid w:val="0064611C"/>
    <w:rsid w:val="006740D9"/>
    <w:rsid w:val="0068484E"/>
    <w:rsid w:val="00706C50"/>
    <w:rsid w:val="0072226D"/>
    <w:rsid w:val="007A5E94"/>
    <w:rsid w:val="007C039A"/>
    <w:rsid w:val="008344FE"/>
    <w:rsid w:val="00957AB4"/>
    <w:rsid w:val="009B4D62"/>
    <w:rsid w:val="009D130D"/>
    <w:rsid w:val="009E42F0"/>
    <w:rsid w:val="009F41FA"/>
    <w:rsid w:val="00A16BBE"/>
    <w:rsid w:val="00A3171C"/>
    <w:rsid w:val="00A80882"/>
    <w:rsid w:val="00A96167"/>
    <w:rsid w:val="00AE1CAC"/>
    <w:rsid w:val="00B56B53"/>
    <w:rsid w:val="00BC7843"/>
    <w:rsid w:val="00BD7321"/>
    <w:rsid w:val="00C41DC3"/>
    <w:rsid w:val="00C94330"/>
    <w:rsid w:val="00CD44FB"/>
    <w:rsid w:val="00CD5340"/>
    <w:rsid w:val="00CE0860"/>
    <w:rsid w:val="00CE300E"/>
    <w:rsid w:val="00D40F0C"/>
    <w:rsid w:val="00ED5BAD"/>
    <w:rsid w:val="00EE5961"/>
    <w:rsid w:val="00F2390E"/>
    <w:rsid w:val="00FE63DF"/>
    <w:rsid w:val="1DEB1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9"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autoRedefine/>
    <w:qFormat/>
    <w:uiPriority w:val="99"/>
    <w:pPr>
      <w:keepNext/>
      <w:keepLines/>
      <w:spacing w:before="100" w:beforeLines="100" w:after="100" w:afterLines="100" w:line="360" w:lineRule="auto"/>
      <w:outlineLvl w:val="0"/>
    </w:pPr>
    <w:rPr>
      <w:b/>
      <w:bCs/>
      <w:kern w:val="44"/>
      <w:sz w:val="28"/>
      <w:szCs w:val="44"/>
    </w:rPr>
  </w:style>
  <w:style w:type="paragraph" w:styleId="3">
    <w:name w:val="heading 2"/>
    <w:basedOn w:val="1"/>
    <w:next w:val="1"/>
    <w:link w:val="13"/>
    <w:autoRedefine/>
    <w:unhideWhenUsed/>
    <w:qFormat/>
    <w:uiPriority w:val="99"/>
    <w:pPr>
      <w:keepNext/>
      <w:keepLines/>
      <w:spacing w:line="360" w:lineRule="auto"/>
      <w:outlineLvl w:val="1"/>
    </w:pPr>
    <w:rPr>
      <w:b/>
      <w:bCs/>
      <w:szCs w:val="24"/>
    </w:rPr>
  </w:style>
  <w:style w:type="paragraph" w:styleId="4">
    <w:name w:val="heading 3"/>
    <w:basedOn w:val="1"/>
    <w:next w:val="1"/>
    <w:link w:val="14"/>
    <w:autoRedefine/>
    <w:unhideWhenUsed/>
    <w:qFormat/>
    <w:uiPriority w:val="99"/>
    <w:pPr>
      <w:keepNext/>
      <w:keepLines/>
      <w:spacing w:line="360" w:lineRule="auto"/>
      <w:outlineLvl w:val="2"/>
    </w:pPr>
    <w:rPr>
      <w:b/>
      <w:bCs/>
      <w:szCs w:val="32"/>
    </w:rPr>
  </w:style>
  <w:style w:type="paragraph" w:styleId="5">
    <w:name w:val="heading 4"/>
    <w:basedOn w:val="1"/>
    <w:next w:val="1"/>
    <w:link w:val="15"/>
    <w:autoRedefine/>
    <w:unhideWhenUsed/>
    <w:qFormat/>
    <w:uiPriority w:val="99"/>
    <w:pPr>
      <w:keepNext/>
      <w:keepLines/>
      <w:spacing w:line="360" w:lineRule="auto"/>
      <w:outlineLvl w:val="3"/>
    </w:pPr>
    <w:rPr>
      <w:rFonts w:cstheme="majorBidi"/>
      <w:b/>
      <w:bCs/>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qFormat/>
    <w:uiPriority w:val="99"/>
    <w:rPr>
      <w:b/>
      <w:bCs/>
      <w:kern w:val="44"/>
      <w:sz w:val="28"/>
      <w:szCs w:val="44"/>
    </w:rPr>
  </w:style>
  <w:style w:type="character" w:customStyle="1" w:styleId="13">
    <w:name w:val="标题 2 字符"/>
    <w:basedOn w:val="11"/>
    <w:link w:val="3"/>
    <w:qFormat/>
    <w:uiPriority w:val="99"/>
    <w:rPr>
      <w:b/>
      <w:bCs/>
      <w:szCs w:val="24"/>
    </w:rPr>
  </w:style>
  <w:style w:type="character" w:customStyle="1" w:styleId="14">
    <w:name w:val="标题 3 字符"/>
    <w:basedOn w:val="11"/>
    <w:link w:val="4"/>
    <w:qFormat/>
    <w:uiPriority w:val="99"/>
    <w:rPr>
      <w:b/>
      <w:bCs/>
      <w:szCs w:val="32"/>
    </w:rPr>
  </w:style>
  <w:style w:type="character" w:customStyle="1" w:styleId="15">
    <w:name w:val="标题 4 字符"/>
    <w:basedOn w:val="11"/>
    <w:link w:val="5"/>
    <w:qFormat/>
    <w:uiPriority w:val="99"/>
    <w:rPr>
      <w:rFonts w:cstheme="majorBidi"/>
      <w:b/>
      <w:bCs/>
      <w:szCs w:val="28"/>
    </w:rPr>
  </w:style>
  <w:style w:type="character" w:customStyle="1" w:styleId="16">
    <w:name w:val="页眉 字符"/>
    <w:basedOn w:val="11"/>
    <w:link w:val="8"/>
    <w:qFormat/>
    <w:uiPriority w:val="99"/>
    <w:rPr>
      <w:sz w:val="18"/>
      <w:szCs w:val="18"/>
    </w:rPr>
  </w:style>
  <w:style w:type="character" w:customStyle="1" w:styleId="17">
    <w:name w:val="页脚 字符"/>
    <w:basedOn w:val="11"/>
    <w:link w:val="7"/>
    <w:qFormat/>
    <w:uiPriority w:val="99"/>
    <w:rPr>
      <w:sz w:val="18"/>
      <w:szCs w:val="18"/>
    </w:rPr>
  </w:style>
  <w:style w:type="table" w:customStyle="1" w:styleId="18">
    <w:name w:val="三线表1"/>
    <w:basedOn w:val="9"/>
    <w:qFormat/>
    <w:uiPriority w:val="99"/>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19">
    <w:name w:val="网格型1"/>
    <w:basedOn w:val="9"/>
    <w:qFormat/>
    <w:uiPriority w:val="0"/>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0">
    <w:name w:val="批注框文本 字符"/>
    <w:basedOn w:val="11"/>
    <w:link w:val="6"/>
    <w:semiHidden/>
    <w:uiPriority w:val="99"/>
    <w:rPr>
      <w:rFonts w:asciiTheme="minorHAnsi" w:hAnsiTheme="minorHAnsi" w:eastAsiaTheme="minorEastAsia" w:cstheme="minorBidi"/>
      <w:sz w:val="18"/>
      <w:szCs w:val="18"/>
    </w:rPr>
  </w:style>
  <w:style w:type="table" w:customStyle="1" w:styleId="21">
    <w:name w:val="三线表"/>
    <w:basedOn w:val="9"/>
    <w:qFormat/>
    <w:uiPriority w:val="99"/>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22">
    <w:name w:val="样式2"/>
    <w:basedOn w:val="9"/>
    <w:qFormat/>
    <w:uiPriority w:val="99"/>
    <w:pPr>
      <w:jc w:val="center"/>
    </w:pPr>
    <w:rPr>
      <w:kern w:val="0"/>
      <w:sz w:val="21"/>
      <w:szCs w:val="20"/>
    </w:rPr>
    <w:tblPr>
      <w:jc w:val="center"/>
      <w:tblBorders>
        <w:top w:val="single" w:color="auto" w:sz="12" w:space="0"/>
        <w:bottom w:val="single" w:color="auto" w:sz="12" w:space="0"/>
      </w:tblBorders>
    </w:tblPr>
    <w:trPr>
      <w:jc w:val="center"/>
    </w:trPr>
    <w:tcPr>
      <w:vAlign w:val="center"/>
    </w:tcPr>
    <w:tblStylePr w:type="firstRow">
      <w:tcPr>
        <w:tcBorders>
          <w:bottom w:val="single" w:color="auto" w:sz="8" w:space="0"/>
        </w:tcBorders>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AC930-945B-4D99-B324-F4BEBBD60197}">
  <ds:schemaRefs/>
</ds:datastoreItem>
</file>

<file path=docProps/app.xml><?xml version="1.0" encoding="utf-8"?>
<Properties xmlns="http://schemas.openxmlformats.org/officeDocument/2006/extended-properties" xmlns:vt="http://schemas.openxmlformats.org/officeDocument/2006/docPropsVTypes">
  <Template>Normal</Template>
  <Pages>4</Pages>
  <Words>2141</Words>
  <Characters>2633</Characters>
  <Lines>19</Lines>
  <Paragraphs>5</Paragraphs>
  <TotalTime>398</TotalTime>
  <ScaleCrop>false</ScaleCrop>
  <LinksUpToDate>false</LinksUpToDate>
  <CharactersWithSpaces>2682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2022-10-28T08:09:00Z</dcterms:created>
  <dc:creator>顾珂镭</dc:creator>
  <cp:lastModifiedBy>李小蜗</cp:lastModifiedBy>
  <dcterms:modified xsi:type="dcterms:W3CDTF">2025-01-07T06:29:08Z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eyJoZGlkIjoiMmI2MzE1NTQ0YjVhODQxYzZkZTNmMjdmMTczZTQ5ODMiLCJ1c2VySWQiOiIzMDE1NzkzNzYifQ==</vt:lpwstr>
  </property>
  <property fmtid="{D5CDD505-2E9C-101B-9397-08002B2CF9AE}" pid="3" name="KSOProductBuildVer">
    <vt:lpwstr>2052-12.1.0.19770</vt:lpwstr>
  </property>
  <property fmtid="{D5CDD505-2E9C-101B-9397-08002B2CF9AE}" pid="4" name="ICV">
    <vt:lpwstr>DD35D0ECBF274EDEA545DAEA50559909_13</vt:lpwstr>
  </property>
</Properties>
</file>