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5040C">
      <w:pPr>
        <w:spacing w:line="360" w:lineRule="auto"/>
        <w:jc w:val="center"/>
        <w:rPr>
          <w:rFonts w:ascii="Times New Roman" w:hAnsi="Times New Roman" w:eastAsia="宋体" w:cs="Times New Roman"/>
          <w:b/>
          <w:color w:val="000000"/>
          <w:sz w:val="28"/>
          <w:szCs w:val="28"/>
        </w:rPr>
      </w:pPr>
      <w:r>
        <w:rPr>
          <w:rFonts w:ascii="Times New Roman" w:hAnsi="Times New Roman" w:eastAsia="宋体" w:cs="Times New Roman"/>
          <w:b/>
          <w:bCs/>
          <w:sz w:val="28"/>
          <w:szCs w:val="28"/>
        </w:rPr>
        <w:t>老鹳草（野老鹳草）配方颗粒</w:t>
      </w:r>
    </w:p>
    <w:p w14:paraId="40DBBC37">
      <w:pPr>
        <w:spacing w:line="360" w:lineRule="auto"/>
        <w:jc w:val="center"/>
        <w:rPr>
          <w:rFonts w:ascii="Times New Roman" w:hAnsi="Times New Roman" w:eastAsia="宋体" w:cs="Times New Roman"/>
          <w:b/>
          <w:bCs/>
          <w:sz w:val="28"/>
          <w:szCs w:val="28"/>
        </w:rPr>
      </w:pPr>
      <w:r>
        <w:rPr>
          <w:rFonts w:ascii="Times New Roman" w:hAnsi="Times New Roman" w:eastAsia="宋体" w:cs="Times New Roman"/>
          <w:b/>
          <w:sz w:val="28"/>
          <w:szCs w:val="28"/>
        </w:rPr>
        <w:t>Laoguancao（Yelaoguancao）</w:t>
      </w:r>
      <w:r>
        <w:rPr>
          <w:rFonts w:ascii="Times New Roman" w:hAnsi="Times New Roman" w:eastAsia="宋体" w:cs="Times New Roman"/>
          <w:b/>
          <w:bCs/>
          <w:sz w:val="28"/>
          <w:szCs w:val="28"/>
        </w:rPr>
        <w:t xml:space="preserve">  Peifangkeli</w:t>
      </w:r>
    </w:p>
    <w:p w14:paraId="3AF673F9">
      <w:pPr>
        <w:spacing w:line="360" w:lineRule="auto"/>
        <w:ind w:firstLine="499" w:firstLineChars="208"/>
        <w:rPr>
          <w:rFonts w:ascii="Times New Roman" w:hAnsi="Times New Roman" w:eastAsia="宋体" w:cs="Times New Roman"/>
          <w:bCs/>
          <w:sz w:val="24"/>
          <w:szCs w:val="24"/>
        </w:rPr>
      </w:pPr>
      <w:r>
        <w:rPr>
          <w:rFonts w:ascii="Times New Roman" w:hAnsi="Times New Roman" w:eastAsia="宋体" w:cs="Times New Roman"/>
          <w:sz w:val="24"/>
          <w:szCs w:val="24"/>
        </w:rPr>
        <w:t>【</w:t>
      </w:r>
      <w:r>
        <w:rPr>
          <w:rFonts w:ascii="Times New Roman" w:hAnsi="Times New Roman" w:eastAsia="宋体" w:cs="Times New Roman"/>
          <w:b/>
          <w:bCs/>
          <w:sz w:val="24"/>
          <w:szCs w:val="24"/>
        </w:rPr>
        <w:t>来源</w:t>
      </w: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 </w:t>
      </w:r>
      <w:r>
        <w:rPr>
          <w:rFonts w:hint="eastAsia" w:ascii="Times New Roman" w:hAnsi="Times New Roman" w:eastAsia="宋体" w:cs="Times New Roman"/>
          <w:b/>
          <w:sz w:val="24"/>
          <w:szCs w:val="24"/>
          <w:lang w:val="en-US" w:eastAsia="zh-CN"/>
        </w:rPr>
        <w:t xml:space="preserve"> </w:t>
      </w:r>
      <w:r>
        <w:rPr>
          <w:rFonts w:ascii="Times New Roman" w:hAnsi="Times New Roman" w:eastAsia="宋体" w:cs="Times New Roman"/>
          <w:bCs/>
          <w:sz w:val="24"/>
          <w:szCs w:val="24"/>
        </w:rPr>
        <w:t>本品为牻牛儿苗科植物野老鹳草</w:t>
      </w:r>
      <w:r>
        <w:rPr>
          <w:rFonts w:ascii="Times New Roman" w:hAnsi="Times New Roman" w:eastAsia="宋体" w:cs="Times New Roman"/>
          <w:bCs/>
          <w:i/>
          <w:iCs/>
          <w:sz w:val="24"/>
          <w:szCs w:val="24"/>
        </w:rPr>
        <w:t xml:space="preserve">Geranium carolinianum </w:t>
      </w:r>
      <w:r>
        <w:rPr>
          <w:rFonts w:ascii="Times New Roman" w:hAnsi="Times New Roman" w:eastAsia="宋体" w:cs="Times New Roman"/>
          <w:bCs/>
          <w:sz w:val="24"/>
          <w:szCs w:val="24"/>
        </w:rPr>
        <w:t>L. 的干燥地上部分经炮制并按标准汤剂的主要质量指标加工制成的配方颗粒。</w:t>
      </w:r>
    </w:p>
    <w:p w14:paraId="54ACD19D">
      <w:pPr>
        <w:spacing w:line="360" w:lineRule="auto"/>
        <w:ind w:firstLine="499" w:firstLineChars="208"/>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bCs/>
          <w:sz w:val="24"/>
          <w:szCs w:val="24"/>
        </w:rPr>
        <w:t>制法</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取老鹳草（野老鹳草）饮片4000g，加水煎煮，滤过，滤液浓缩成清膏（出膏率为13~25%），加入辅料适量，干燥（或干燥，粉碎），再加入辅料适量，混匀，制粒，制成1000g，即得。</w:t>
      </w:r>
    </w:p>
    <w:p w14:paraId="626E8A1E">
      <w:pPr>
        <w:spacing w:line="360" w:lineRule="auto"/>
        <w:ind w:firstLine="499" w:firstLineChars="208"/>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bCs/>
          <w:sz w:val="24"/>
          <w:szCs w:val="24"/>
        </w:rPr>
        <w:t>性状</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本品为黄褐色至棕褐色的颗粒；气微，味微苦、涩。</w:t>
      </w:r>
    </w:p>
    <w:p w14:paraId="18072BB2">
      <w:pPr>
        <w:spacing w:line="360" w:lineRule="auto"/>
        <w:ind w:firstLine="499" w:firstLineChars="208"/>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bCs/>
          <w:sz w:val="24"/>
          <w:szCs w:val="24"/>
        </w:rPr>
        <w:t>鉴别</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取本品适量，研细，取0.2g，加6%盐酸溶液45ml，加热回流1小时，放冷，用乙酸乙酯振摇提取3次，每次20ml，合并乙酸乙酯液，蒸干，残渣加甲醇1ml使溶解，作为供试品溶液。另取老鹳草（野老鹳草）对照药材3g，加6%盐酸溶液45ml，同法制成对照药材溶液。再取没食子酸对照品，加甲醇制成每1ml含0.4mg的溶液，作为对照品溶液。照薄层色谱法（中国药典 通则0502）试验，吸取供试品溶液3μl、对照药材溶液2μl、对照品溶液10μl，分别点于同一硅胶G薄层板上，以环己烷-乙酸乙酯-甲酸（8︰8︰1）为展开剂，展开，取出，晾干，喷以2%三氯化铁乙醇溶液，热风吹干。供试品色谱中，在与对照药材色谱和对照品色谱相应的位置上，显相同颜色的斑点。</w:t>
      </w:r>
    </w:p>
    <w:p w14:paraId="3D2D2146">
      <w:pPr>
        <w:spacing w:line="360" w:lineRule="auto"/>
        <w:ind w:firstLine="499" w:firstLineChars="208"/>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bCs/>
          <w:sz w:val="24"/>
          <w:szCs w:val="24"/>
        </w:rPr>
        <w:t>特征图谱</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b/>
          <w:sz w:val="24"/>
          <w:szCs w:val="24"/>
        </w:rPr>
        <w:t xml:space="preserve"> </w:t>
      </w:r>
      <w:r>
        <w:rPr>
          <w:rFonts w:ascii="Times New Roman" w:hAnsi="Times New Roman" w:eastAsia="宋体" w:cs="Times New Roman"/>
          <w:sz w:val="24"/>
          <w:szCs w:val="24"/>
        </w:rPr>
        <w:t>照高效液相色谱法（中国药典 通则0512）测定。</w:t>
      </w:r>
    </w:p>
    <w:p w14:paraId="290130AC">
      <w:pPr>
        <w:spacing w:line="360" w:lineRule="auto"/>
        <w:ind w:firstLine="472" w:firstLineChars="196"/>
        <w:rPr>
          <w:rFonts w:ascii="Times New Roman" w:hAnsi="Times New Roman" w:eastAsia="宋体" w:cs="Times New Roman"/>
          <w:color w:val="000000"/>
          <w:sz w:val="24"/>
          <w:szCs w:val="24"/>
        </w:rPr>
      </w:pPr>
      <w:r>
        <w:rPr>
          <w:rFonts w:ascii="Times New Roman" w:hAnsi="Times New Roman" w:eastAsia="宋体" w:cs="Times New Roman"/>
          <w:b/>
          <w:bCs/>
          <w:color w:val="000000"/>
          <w:sz w:val="24"/>
          <w:szCs w:val="24"/>
        </w:rPr>
        <w:t xml:space="preserve">色谱条件与系统适用性试验 </w:t>
      </w:r>
      <w:r>
        <w:rPr>
          <w:rFonts w:ascii="Times New Roman" w:hAnsi="Times New Roman" w:eastAsia="宋体" w:cs="Times New Roman"/>
          <w:color w:val="000000"/>
          <w:sz w:val="24"/>
          <w:szCs w:val="24"/>
        </w:rPr>
        <w:t xml:space="preserve"> 以十八烷基硅烷键合硅胶为填充剂；以甲醇-乙腈（3</w:t>
      </w:r>
      <w:r>
        <w:rPr>
          <w:rFonts w:ascii="Times New Roman" w:hAnsi="Times New Roman" w:eastAsia="宋体" w:cs="Times New Roman"/>
          <w:sz w:val="24"/>
          <w:szCs w:val="24"/>
        </w:rPr>
        <w:t>︰</w:t>
      </w:r>
      <w:r>
        <w:rPr>
          <w:rFonts w:ascii="Times New Roman" w:hAnsi="Times New Roman" w:eastAsia="宋体" w:cs="Times New Roman"/>
          <w:color w:val="000000"/>
          <w:sz w:val="24"/>
          <w:szCs w:val="24"/>
        </w:rPr>
        <w:t>1）为流动相A，以0.1%磷酸溶液为流动相B，按下表梯度洗脱；流速为0.35ml/</w:t>
      </w:r>
      <w:r>
        <w:rPr>
          <w:rFonts w:hint="eastAsia" w:ascii="Times New Roman" w:hAnsi="Times New Roman" w:eastAsia="宋体" w:cs="Times New Roman"/>
          <w:color w:val="000000"/>
          <w:sz w:val="24"/>
          <w:szCs w:val="24"/>
        </w:rPr>
        <w:t>min</w:t>
      </w:r>
      <w:r>
        <w:rPr>
          <w:rFonts w:ascii="Times New Roman" w:hAnsi="Times New Roman" w:eastAsia="宋体" w:cs="Times New Roman"/>
          <w:color w:val="000000"/>
          <w:sz w:val="24"/>
          <w:szCs w:val="24"/>
        </w:rPr>
        <w:t>；柱温为30℃；检测波长为273nm。理论板数按柯里拉京峰计应不低于5000。</w:t>
      </w:r>
    </w:p>
    <w:tbl>
      <w:tblPr>
        <w:tblStyle w:val="9"/>
        <w:tblW w:w="5000" w:type="pct"/>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14:paraId="72DA44EC">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tcBorders>
              <w:top w:val="single" w:color="000000" w:sz="12" w:space="0"/>
              <w:bottom w:val="single" w:color="000000" w:sz="8" w:space="0"/>
            </w:tcBorders>
            <w:shd w:val="clear" w:color="auto" w:fill="auto"/>
          </w:tcPr>
          <w:p w14:paraId="2AC259E0">
            <w:pPr>
              <w:jc w:val="center"/>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时间（分钟）</w:t>
            </w:r>
          </w:p>
        </w:tc>
        <w:tc>
          <w:tcPr>
            <w:tcW w:w="1666" w:type="pct"/>
            <w:tcBorders>
              <w:top w:val="single" w:color="000000" w:sz="12" w:space="0"/>
              <w:bottom w:val="single" w:color="000000" w:sz="8" w:space="0"/>
            </w:tcBorders>
            <w:shd w:val="clear" w:color="auto" w:fill="auto"/>
          </w:tcPr>
          <w:p w14:paraId="36CB311C">
            <w:pPr>
              <w:jc w:val="center"/>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流动相A（%）</w:t>
            </w:r>
          </w:p>
        </w:tc>
        <w:tc>
          <w:tcPr>
            <w:tcW w:w="1666" w:type="pct"/>
            <w:tcBorders>
              <w:top w:val="single" w:color="000000" w:sz="12" w:space="0"/>
              <w:bottom w:val="single" w:color="000000" w:sz="8" w:space="0"/>
            </w:tcBorders>
            <w:shd w:val="clear" w:color="auto" w:fill="auto"/>
          </w:tcPr>
          <w:p w14:paraId="5A67727D">
            <w:pPr>
              <w:jc w:val="center"/>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流动相B（%）</w:t>
            </w:r>
          </w:p>
        </w:tc>
      </w:tr>
      <w:tr w14:paraId="085F5CF3">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tcBorders>
              <w:top w:val="single" w:color="000000" w:sz="8" w:space="0"/>
            </w:tcBorders>
            <w:shd w:val="clear" w:color="auto" w:fill="auto"/>
          </w:tcPr>
          <w:p w14:paraId="309F05DB">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0</w:t>
            </w:r>
          </w:p>
        </w:tc>
        <w:tc>
          <w:tcPr>
            <w:tcW w:w="1666" w:type="pct"/>
            <w:tcBorders>
              <w:top w:val="single" w:color="000000" w:sz="8" w:space="0"/>
            </w:tcBorders>
            <w:shd w:val="clear" w:color="auto" w:fill="auto"/>
          </w:tcPr>
          <w:p w14:paraId="61D63979">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8</w:t>
            </w:r>
          </w:p>
        </w:tc>
        <w:tc>
          <w:tcPr>
            <w:tcW w:w="1666" w:type="pct"/>
            <w:tcBorders>
              <w:top w:val="single" w:color="000000" w:sz="8" w:space="0"/>
            </w:tcBorders>
            <w:shd w:val="clear" w:color="auto" w:fill="auto"/>
          </w:tcPr>
          <w:p w14:paraId="4F56F935">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9</w:t>
            </w:r>
            <w:r>
              <w:rPr>
                <w:rFonts w:ascii="Times New Roman" w:hAnsi="Times New Roman" w:eastAsia="宋体" w:cs="Times New Roman"/>
                <w:color w:val="000000"/>
                <w:sz w:val="24"/>
                <w:szCs w:val="24"/>
              </w:rPr>
              <w:t>2</w:t>
            </w:r>
          </w:p>
        </w:tc>
      </w:tr>
      <w:tr w14:paraId="0AA6677A">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shd w:val="clear" w:color="auto" w:fill="auto"/>
          </w:tcPr>
          <w:p w14:paraId="36659E07">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4</w:t>
            </w:r>
          </w:p>
        </w:tc>
        <w:tc>
          <w:tcPr>
            <w:tcW w:w="1666" w:type="pct"/>
            <w:shd w:val="clear" w:color="auto" w:fill="auto"/>
          </w:tcPr>
          <w:p w14:paraId="524A6E08">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5</w:t>
            </w:r>
          </w:p>
        </w:tc>
        <w:tc>
          <w:tcPr>
            <w:tcW w:w="1666" w:type="pct"/>
            <w:shd w:val="clear" w:color="auto" w:fill="auto"/>
          </w:tcPr>
          <w:p w14:paraId="1F3A3188">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8</w:t>
            </w:r>
            <w:r>
              <w:rPr>
                <w:rFonts w:ascii="Times New Roman" w:hAnsi="Times New Roman" w:eastAsia="宋体" w:cs="Times New Roman"/>
                <w:color w:val="000000"/>
                <w:sz w:val="24"/>
                <w:szCs w:val="24"/>
              </w:rPr>
              <w:t>5</w:t>
            </w:r>
          </w:p>
        </w:tc>
      </w:tr>
      <w:tr w14:paraId="36F09438">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shd w:val="clear" w:color="auto" w:fill="auto"/>
          </w:tcPr>
          <w:p w14:paraId="349CB39E">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0</w:t>
            </w:r>
          </w:p>
        </w:tc>
        <w:tc>
          <w:tcPr>
            <w:tcW w:w="1666" w:type="pct"/>
            <w:shd w:val="clear" w:color="auto" w:fill="auto"/>
          </w:tcPr>
          <w:p w14:paraId="507FE9D7">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6</w:t>
            </w:r>
          </w:p>
        </w:tc>
        <w:tc>
          <w:tcPr>
            <w:tcW w:w="1666" w:type="pct"/>
            <w:shd w:val="clear" w:color="auto" w:fill="auto"/>
          </w:tcPr>
          <w:p w14:paraId="4159021A">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8</w:t>
            </w:r>
            <w:r>
              <w:rPr>
                <w:rFonts w:ascii="Times New Roman" w:hAnsi="Times New Roman" w:eastAsia="宋体" w:cs="Times New Roman"/>
                <w:color w:val="000000"/>
                <w:sz w:val="24"/>
                <w:szCs w:val="24"/>
              </w:rPr>
              <w:t>4</w:t>
            </w:r>
          </w:p>
        </w:tc>
      </w:tr>
      <w:tr w14:paraId="0CD82F51">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shd w:val="clear" w:color="auto" w:fill="auto"/>
          </w:tcPr>
          <w:p w14:paraId="403BE925">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5</w:t>
            </w:r>
          </w:p>
        </w:tc>
        <w:tc>
          <w:tcPr>
            <w:tcW w:w="1666" w:type="pct"/>
            <w:shd w:val="clear" w:color="auto" w:fill="auto"/>
          </w:tcPr>
          <w:p w14:paraId="57955182">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8</w:t>
            </w:r>
          </w:p>
        </w:tc>
        <w:tc>
          <w:tcPr>
            <w:tcW w:w="1666" w:type="pct"/>
            <w:shd w:val="clear" w:color="auto" w:fill="auto"/>
          </w:tcPr>
          <w:p w14:paraId="073215C6">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8</w:t>
            </w:r>
            <w:r>
              <w:rPr>
                <w:rFonts w:ascii="Times New Roman" w:hAnsi="Times New Roman" w:eastAsia="宋体" w:cs="Times New Roman"/>
                <w:color w:val="000000"/>
                <w:sz w:val="24"/>
                <w:szCs w:val="24"/>
              </w:rPr>
              <w:t>2</w:t>
            </w:r>
          </w:p>
        </w:tc>
      </w:tr>
      <w:tr w14:paraId="4DE1AD64">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shd w:val="clear" w:color="auto" w:fill="auto"/>
          </w:tcPr>
          <w:p w14:paraId="0ED3671E">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w:t>
            </w:r>
            <w:r>
              <w:rPr>
                <w:rFonts w:ascii="Times New Roman" w:hAnsi="Times New Roman" w:eastAsia="宋体" w:cs="Times New Roman"/>
                <w:color w:val="000000"/>
                <w:sz w:val="24"/>
                <w:szCs w:val="24"/>
              </w:rPr>
              <w:t>2</w:t>
            </w:r>
          </w:p>
        </w:tc>
        <w:tc>
          <w:tcPr>
            <w:tcW w:w="1666" w:type="pct"/>
            <w:shd w:val="clear" w:color="auto" w:fill="auto"/>
          </w:tcPr>
          <w:p w14:paraId="3B7EE8EE">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w:t>
            </w:r>
            <w:r>
              <w:rPr>
                <w:rFonts w:ascii="Times New Roman" w:hAnsi="Times New Roman" w:eastAsia="宋体" w:cs="Times New Roman"/>
                <w:color w:val="000000"/>
                <w:sz w:val="24"/>
                <w:szCs w:val="24"/>
              </w:rPr>
              <w:t>0</w:t>
            </w:r>
          </w:p>
        </w:tc>
        <w:tc>
          <w:tcPr>
            <w:tcW w:w="1666" w:type="pct"/>
            <w:shd w:val="clear" w:color="auto" w:fill="auto"/>
          </w:tcPr>
          <w:p w14:paraId="1CBB6A1E">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8</w:t>
            </w:r>
            <w:r>
              <w:rPr>
                <w:rFonts w:ascii="Times New Roman" w:hAnsi="Times New Roman" w:eastAsia="宋体" w:cs="Times New Roman"/>
                <w:color w:val="000000"/>
                <w:sz w:val="24"/>
                <w:szCs w:val="24"/>
              </w:rPr>
              <w:t>0</w:t>
            </w:r>
          </w:p>
        </w:tc>
      </w:tr>
      <w:tr w14:paraId="37EF3603">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shd w:val="clear" w:color="auto" w:fill="auto"/>
          </w:tcPr>
          <w:p w14:paraId="005801FC">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w:t>
            </w:r>
            <w:r>
              <w:rPr>
                <w:rFonts w:ascii="Times New Roman" w:hAnsi="Times New Roman" w:eastAsia="宋体" w:cs="Times New Roman"/>
                <w:color w:val="000000"/>
                <w:sz w:val="24"/>
                <w:szCs w:val="24"/>
              </w:rPr>
              <w:t>9</w:t>
            </w:r>
          </w:p>
        </w:tc>
        <w:tc>
          <w:tcPr>
            <w:tcW w:w="1666" w:type="pct"/>
            <w:shd w:val="clear" w:color="auto" w:fill="auto"/>
          </w:tcPr>
          <w:p w14:paraId="54025453">
            <w:pPr>
              <w:jc w:val="center"/>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2</w:t>
            </w:r>
            <w:r>
              <w:rPr>
                <w:rFonts w:hint="eastAsia" w:ascii="Times New Roman" w:hAnsi="Times New Roman" w:eastAsia="宋体" w:cs="Times New Roman"/>
                <w:color w:val="000000"/>
                <w:sz w:val="24"/>
                <w:szCs w:val="24"/>
              </w:rPr>
              <w:t>9</w:t>
            </w:r>
          </w:p>
        </w:tc>
        <w:tc>
          <w:tcPr>
            <w:tcW w:w="1666" w:type="pct"/>
            <w:shd w:val="clear" w:color="auto" w:fill="auto"/>
          </w:tcPr>
          <w:p w14:paraId="146D0081">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7</w:t>
            </w:r>
            <w:r>
              <w:rPr>
                <w:rFonts w:ascii="Times New Roman" w:hAnsi="Times New Roman" w:eastAsia="宋体" w:cs="Times New Roman"/>
                <w:color w:val="000000"/>
                <w:sz w:val="24"/>
                <w:szCs w:val="24"/>
              </w:rPr>
              <w:t>1</w:t>
            </w:r>
          </w:p>
        </w:tc>
      </w:tr>
      <w:tr w14:paraId="5F2061A4">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shd w:val="clear" w:color="auto" w:fill="auto"/>
          </w:tcPr>
          <w:p w14:paraId="24578A48">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w:t>
            </w:r>
            <w:r>
              <w:rPr>
                <w:rFonts w:ascii="Times New Roman" w:hAnsi="Times New Roman" w:eastAsia="宋体" w:cs="Times New Roman"/>
                <w:color w:val="000000"/>
                <w:sz w:val="24"/>
                <w:szCs w:val="24"/>
              </w:rPr>
              <w:t>8</w:t>
            </w:r>
          </w:p>
        </w:tc>
        <w:tc>
          <w:tcPr>
            <w:tcW w:w="1666" w:type="pct"/>
            <w:shd w:val="clear" w:color="auto" w:fill="auto"/>
          </w:tcPr>
          <w:p w14:paraId="4051761C">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4</w:t>
            </w:r>
            <w:r>
              <w:rPr>
                <w:rFonts w:ascii="Times New Roman" w:hAnsi="Times New Roman" w:eastAsia="宋体" w:cs="Times New Roman"/>
                <w:color w:val="000000"/>
                <w:sz w:val="24"/>
                <w:szCs w:val="24"/>
              </w:rPr>
              <w:t>0</w:t>
            </w:r>
          </w:p>
        </w:tc>
        <w:tc>
          <w:tcPr>
            <w:tcW w:w="1666" w:type="pct"/>
            <w:shd w:val="clear" w:color="auto" w:fill="auto"/>
          </w:tcPr>
          <w:p w14:paraId="6388BBD8">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6</w:t>
            </w:r>
            <w:r>
              <w:rPr>
                <w:rFonts w:ascii="Times New Roman" w:hAnsi="Times New Roman" w:eastAsia="宋体" w:cs="Times New Roman"/>
                <w:color w:val="000000"/>
                <w:sz w:val="24"/>
                <w:szCs w:val="24"/>
              </w:rPr>
              <w:t>0</w:t>
            </w:r>
          </w:p>
        </w:tc>
      </w:tr>
      <w:tr w14:paraId="6906E7CB">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shd w:val="clear" w:color="auto" w:fill="auto"/>
          </w:tcPr>
          <w:p w14:paraId="1234D8A9">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4</w:t>
            </w:r>
            <w:r>
              <w:rPr>
                <w:rFonts w:ascii="Times New Roman" w:hAnsi="Times New Roman" w:eastAsia="宋体" w:cs="Times New Roman"/>
                <w:color w:val="000000"/>
                <w:sz w:val="24"/>
                <w:szCs w:val="24"/>
              </w:rPr>
              <w:t>3</w:t>
            </w:r>
          </w:p>
        </w:tc>
        <w:tc>
          <w:tcPr>
            <w:tcW w:w="1666" w:type="pct"/>
            <w:shd w:val="clear" w:color="auto" w:fill="auto"/>
          </w:tcPr>
          <w:p w14:paraId="12D9DB8C">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4</w:t>
            </w:r>
            <w:r>
              <w:rPr>
                <w:rFonts w:ascii="Times New Roman" w:hAnsi="Times New Roman" w:eastAsia="宋体" w:cs="Times New Roman"/>
                <w:color w:val="000000"/>
                <w:sz w:val="24"/>
                <w:szCs w:val="24"/>
              </w:rPr>
              <w:t>0</w:t>
            </w:r>
          </w:p>
        </w:tc>
        <w:tc>
          <w:tcPr>
            <w:tcW w:w="1666" w:type="pct"/>
            <w:shd w:val="clear" w:color="auto" w:fill="auto"/>
          </w:tcPr>
          <w:p w14:paraId="26EB5EAB">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6</w:t>
            </w:r>
            <w:r>
              <w:rPr>
                <w:rFonts w:ascii="Times New Roman" w:hAnsi="Times New Roman" w:eastAsia="宋体" w:cs="Times New Roman"/>
                <w:color w:val="000000"/>
                <w:sz w:val="24"/>
                <w:szCs w:val="24"/>
              </w:rPr>
              <w:t>0</w:t>
            </w:r>
          </w:p>
        </w:tc>
      </w:tr>
    </w:tbl>
    <w:p w14:paraId="7D5CD8F7">
      <w:pPr>
        <w:spacing w:line="360" w:lineRule="auto"/>
        <w:ind w:firstLine="411" w:firstLineChars="196"/>
        <w:rPr>
          <w:rFonts w:ascii="Times New Roman" w:hAnsi="Times New Roman" w:eastAsia="宋体" w:cs="Times New Roman"/>
        </w:rPr>
      </w:pPr>
    </w:p>
    <w:p w14:paraId="6B20EE67">
      <w:pPr>
        <w:spacing w:line="360" w:lineRule="auto"/>
        <w:ind w:firstLine="472" w:firstLineChars="196"/>
        <w:rPr>
          <w:rFonts w:ascii="Times New Roman" w:hAnsi="Times New Roman" w:eastAsia="宋体" w:cs="Times New Roman"/>
          <w:color w:val="000000"/>
          <w:sz w:val="24"/>
          <w:szCs w:val="24"/>
        </w:rPr>
      </w:pPr>
      <w:r>
        <w:rPr>
          <w:rFonts w:ascii="Times New Roman" w:hAnsi="Times New Roman" w:eastAsia="宋体" w:cs="Times New Roman"/>
          <w:b/>
          <w:color w:val="000000"/>
          <w:sz w:val="24"/>
          <w:szCs w:val="24"/>
        </w:rPr>
        <w:t xml:space="preserve">参照物溶液的制备  </w:t>
      </w:r>
      <w:r>
        <w:rPr>
          <w:rFonts w:ascii="Times New Roman" w:hAnsi="Times New Roman" w:eastAsia="宋体" w:cs="Times New Roman"/>
          <w:color w:val="000000"/>
          <w:sz w:val="24"/>
          <w:szCs w:val="24"/>
        </w:rPr>
        <w:t>取老鹳草（野老鹳草）对照药材0.5g，加50%甲醇50ml，加热回流1小时，放冷，滤过，取续滤液，作为对照药材参照物溶液。另取没食子酸对照品、柯里拉京对照品、鞣花酸对照品适量，加甲醇制成每1ml含没食子酸20μg、柯里拉京75μg、鞣花酸15μg的混合溶液，作为对照品参照物溶液。</w:t>
      </w:r>
    </w:p>
    <w:p w14:paraId="618C43EB">
      <w:pPr>
        <w:spacing w:line="360" w:lineRule="auto"/>
        <w:ind w:firstLine="472" w:firstLineChars="196"/>
        <w:rPr>
          <w:rFonts w:ascii="Times New Roman" w:hAnsi="Times New Roman" w:eastAsia="宋体" w:cs="Times New Roman"/>
          <w:color w:val="000000"/>
          <w:sz w:val="24"/>
          <w:szCs w:val="24"/>
        </w:rPr>
      </w:pPr>
      <w:r>
        <w:rPr>
          <w:rFonts w:ascii="Times New Roman" w:hAnsi="Times New Roman" w:eastAsia="宋体" w:cs="Times New Roman"/>
          <w:b/>
          <w:color w:val="000000"/>
          <w:sz w:val="24"/>
          <w:szCs w:val="24"/>
        </w:rPr>
        <w:t xml:space="preserve">供试品溶液的制备 </w:t>
      </w:r>
      <w:r>
        <w:rPr>
          <w:rFonts w:ascii="Times New Roman" w:hAnsi="Times New Roman" w:eastAsia="宋体" w:cs="Times New Roman"/>
          <w:color w:val="000000"/>
          <w:sz w:val="24"/>
          <w:szCs w:val="24"/>
        </w:rPr>
        <w:t xml:space="preserve"> 取本品适量，研细，取0.1g，加30%乙醇50ml，加热回流30分钟，放冷，摇匀，滤过，取续滤液，即得。</w:t>
      </w:r>
    </w:p>
    <w:p w14:paraId="39EB8F49">
      <w:pPr>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 xml:space="preserve">测定法  </w:t>
      </w:r>
      <w:r>
        <w:rPr>
          <w:rFonts w:ascii="Times New Roman" w:hAnsi="Times New Roman" w:eastAsia="宋体" w:cs="Times New Roman"/>
          <w:sz w:val="24"/>
          <w:szCs w:val="24"/>
        </w:rPr>
        <w:t>分别精密吸取参照物溶液与供试品溶液各1μl，注入液相色谱仪，测定，即得。</w:t>
      </w:r>
    </w:p>
    <w:p w14:paraId="5B35CAB9">
      <w:pPr>
        <w:spacing w:line="360" w:lineRule="auto"/>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供试品色谱中应呈现与对照药材参照物色谱</w:t>
      </w:r>
      <w:r>
        <w:rPr>
          <w:rFonts w:hint="eastAsia" w:ascii="Times New Roman" w:hAnsi="Times New Roman" w:eastAsia="宋体" w:cs="Times New Roman"/>
          <w:color w:val="000000"/>
          <w:sz w:val="24"/>
          <w:szCs w:val="24"/>
        </w:rPr>
        <w:t>图</w:t>
      </w:r>
      <w:r>
        <w:rPr>
          <w:rFonts w:ascii="Times New Roman" w:hAnsi="Times New Roman" w:eastAsia="宋体" w:cs="Times New Roman"/>
          <w:color w:val="000000"/>
          <w:sz w:val="24"/>
          <w:szCs w:val="24"/>
        </w:rPr>
        <w:t>中4个保留时间相对应</w:t>
      </w:r>
      <w:r>
        <w:rPr>
          <w:rFonts w:hint="eastAsia" w:ascii="Times New Roman" w:hAnsi="Times New Roman" w:eastAsia="宋体" w:cs="Times New Roman"/>
          <w:color w:val="000000"/>
          <w:sz w:val="24"/>
          <w:szCs w:val="24"/>
        </w:rPr>
        <w:t>的</w:t>
      </w:r>
      <w:r>
        <w:rPr>
          <w:rFonts w:ascii="Times New Roman" w:hAnsi="Times New Roman" w:eastAsia="宋体" w:cs="Times New Roman"/>
          <w:color w:val="000000"/>
          <w:sz w:val="24"/>
          <w:szCs w:val="24"/>
        </w:rPr>
        <w:t>特征峰，其中峰1、峰3</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4应分别与相应对照品参照物峰</w:t>
      </w:r>
      <w:r>
        <w:rPr>
          <w:rFonts w:hint="eastAsia" w:ascii="Times New Roman" w:hAnsi="Times New Roman" w:eastAsia="宋体" w:cs="Times New Roman"/>
          <w:color w:val="000000"/>
          <w:sz w:val="24"/>
          <w:szCs w:val="24"/>
        </w:rPr>
        <w:t>的</w:t>
      </w:r>
      <w:r>
        <w:rPr>
          <w:rFonts w:ascii="Times New Roman" w:hAnsi="Times New Roman" w:eastAsia="宋体" w:cs="Times New Roman"/>
          <w:color w:val="000000"/>
          <w:sz w:val="24"/>
          <w:szCs w:val="24"/>
        </w:rPr>
        <w:t>保留时间相对应。峰2与S峰</w:t>
      </w:r>
      <w:r>
        <w:rPr>
          <w:rFonts w:hint="eastAsia" w:ascii="Times New Roman" w:hAnsi="Times New Roman" w:eastAsia="宋体" w:cs="Times New Roman"/>
          <w:color w:val="000000"/>
          <w:sz w:val="24"/>
          <w:szCs w:val="24"/>
        </w:rPr>
        <w:t>（峰3）</w:t>
      </w:r>
      <w:r>
        <w:rPr>
          <w:rFonts w:ascii="Times New Roman" w:hAnsi="Times New Roman" w:eastAsia="宋体" w:cs="Times New Roman"/>
          <w:color w:val="000000"/>
          <w:sz w:val="24"/>
          <w:szCs w:val="24"/>
        </w:rPr>
        <w:t>的相对保留时间</w:t>
      </w:r>
      <w:r>
        <w:rPr>
          <w:rFonts w:hint="eastAsia" w:ascii="Times New Roman" w:hAnsi="Times New Roman" w:eastAsia="宋体" w:cs="Times New Roman"/>
          <w:color w:val="000000"/>
          <w:sz w:val="24"/>
          <w:szCs w:val="24"/>
        </w:rPr>
        <w:t>约为：</w:t>
      </w:r>
      <w:r>
        <w:rPr>
          <w:rFonts w:ascii="Times New Roman" w:hAnsi="Times New Roman" w:eastAsia="宋体" w:cs="Times New Roman"/>
          <w:color w:val="000000"/>
          <w:sz w:val="24"/>
          <w:szCs w:val="24"/>
        </w:rPr>
        <w:t>0.79。</w:t>
      </w:r>
    </w:p>
    <w:p w14:paraId="5FCB4CA7">
      <w:pPr>
        <w:widowControl/>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rPr>
        <w:drawing>
          <wp:inline distT="0" distB="0" distL="0" distR="0">
            <wp:extent cx="4761865" cy="1923415"/>
            <wp:effectExtent l="0" t="0" r="63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761905" cy="1923810"/>
                    </a:xfrm>
                    <a:prstGeom prst="rect">
                      <a:avLst/>
                    </a:prstGeom>
                  </pic:spPr>
                </pic:pic>
              </a:graphicData>
            </a:graphic>
          </wp:inline>
        </w:drawing>
      </w:r>
    </w:p>
    <w:p w14:paraId="78F89A70">
      <w:pPr>
        <w:autoSpaceDE w:val="0"/>
        <w:autoSpaceDN w:val="0"/>
        <w:spacing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对照特征图谱</w:t>
      </w:r>
    </w:p>
    <w:p w14:paraId="39537C50">
      <w:pPr>
        <w:autoSpaceDE w:val="0"/>
        <w:autoSpaceDN w:val="0"/>
        <w:spacing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峰1：没食子酸</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rPr>
        <w:t>峰3（S）：柯里拉京</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rPr>
        <w:t>峰4：鞣花酸</w:t>
      </w:r>
    </w:p>
    <w:p w14:paraId="34D03721">
      <w:pPr>
        <w:spacing w:line="240" w:lineRule="auto"/>
        <w:jc w:val="center"/>
        <w:rPr>
          <w:rFonts w:hint="eastAsia" w:ascii="Times New Roman" w:hAnsi="Times New Roman" w:eastAsia="宋体" w:cs="Times New Roman"/>
          <w:sz w:val="21"/>
          <w:szCs w:val="21"/>
        </w:rPr>
      </w:pPr>
      <w:r>
        <w:rPr>
          <w:rFonts w:ascii="Times New Roman" w:hAnsi="Times New Roman" w:eastAsia="宋体" w:cs="Times New Roman"/>
          <w:sz w:val="21"/>
          <w:szCs w:val="21"/>
        </w:rPr>
        <w:t>色谱柱：HSS T3 C18</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2.1mm×150mm，1.8μm</w:t>
      </w:r>
      <w:r>
        <w:rPr>
          <w:rFonts w:hint="eastAsia" w:ascii="Times New Roman" w:hAnsi="Times New Roman" w:eastAsia="宋体" w:cs="Times New Roman"/>
          <w:sz w:val="21"/>
          <w:szCs w:val="21"/>
          <w:lang w:eastAsia="zh-CN"/>
        </w:rPr>
        <w:t>）</w:t>
      </w:r>
    </w:p>
    <w:p w14:paraId="31FD2B06">
      <w:pPr>
        <w:spacing w:line="360" w:lineRule="auto"/>
        <w:ind w:firstLine="480" w:firstLineChars="200"/>
        <w:rPr>
          <w:rFonts w:ascii="Times New Roman" w:hAnsi="Times New Roman" w:eastAsia="宋体" w:cs="Times New Roman"/>
          <w:bCs/>
          <w:sz w:val="24"/>
          <w:szCs w:val="21"/>
        </w:rPr>
      </w:pPr>
      <w:r>
        <w:rPr>
          <w:rFonts w:ascii="Times New Roman" w:hAnsi="Times New Roman" w:eastAsia="宋体" w:cs="Times New Roman"/>
          <w:sz w:val="24"/>
          <w:szCs w:val="21"/>
        </w:rPr>
        <w:t>【</w:t>
      </w:r>
      <w:r>
        <w:rPr>
          <w:rFonts w:ascii="Times New Roman" w:hAnsi="Times New Roman" w:eastAsia="宋体" w:cs="Times New Roman"/>
          <w:b/>
          <w:bCs/>
          <w:sz w:val="24"/>
          <w:szCs w:val="21"/>
        </w:rPr>
        <w:t>检查</w:t>
      </w:r>
      <w:r>
        <w:rPr>
          <w:rFonts w:ascii="Times New Roman" w:hAnsi="Times New Roman" w:eastAsia="宋体" w:cs="Times New Roman"/>
          <w:sz w:val="24"/>
          <w:szCs w:val="21"/>
        </w:rPr>
        <w:t xml:space="preserve">】 </w:t>
      </w:r>
      <w:r>
        <w:rPr>
          <w:rFonts w:hint="eastAsia" w:ascii="Times New Roman" w:hAnsi="Times New Roman" w:eastAsia="宋体" w:cs="Times New Roman"/>
          <w:sz w:val="24"/>
          <w:szCs w:val="21"/>
          <w:lang w:val="en-US" w:eastAsia="zh-CN"/>
        </w:rPr>
        <w:t xml:space="preserve"> </w:t>
      </w:r>
      <w:r>
        <w:rPr>
          <w:rFonts w:ascii="Times New Roman" w:hAnsi="Times New Roman" w:eastAsia="宋体" w:cs="Times New Roman"/>
          <w:bCs/>
          <w:sz w:val="24"/>
          <w:szCs w:val="21"/>
        </w:rPr>
        <w:t>应符合颗粒剂项下有关的各项规定（中国药典 通则0104）。</w:t>
      </w:r>
    </w:p>
    <w:p w14:paraId="75973455">
      <w:pPr>
        <w:spacing w:line="360" w:lineRule="auto"/>
        <w:ind w:firstLine="480" w:firstLineChars="200"/>
        <w:rPr>
          <w:rFonts w:ascii="Times New Roman" w:hAnsi="Times New Roman" w:eastAsia="宋体" w:cs="Times New Roman"/>
          <w:bCs/>
          <w:sz w:val="24"/>
          <w:szCs w:val="21"/>
        </w:rPr>
      </w:pPr>
      <w:r>
        <w:rPr>
          <w:rFonts w:ascii="Times New Roman" w:hAnsi="Times New Roman" w:eastAsia="宋体" w:cs="Times New Roman"/>
          <w:color w:val="000000"/>
          <w:sz w:val="24"/>
          <w:szCs w:val="24"/>
        </w:rPr>
        <w:t>【</w:t>
      </w:r>
      <w:r>
        <w:rPr>
          <w:rFonts w:ascii="Times New Roman" w:hAnsi="Times New Roman" w:eastAsia="宋体" w:cs="Times New Roman"/>
          <w:b/>
          <w:bCs/>
          <w:color w:val="000000"/>
          <w:sz w:val="24"/>
          <w:szCs w:val="24"/>
        </w:rPr>
        <w:t>浸出物</w:t>
      </w:r>
      <w:r>
        <w:rPr>
          <w:rFonts w:ascii="Times New Roman" w:hAnsi="Times New Roman" w:eastAsia="宋体" w:cs="Times New Roman"/>
          <w:color w:val="000000"/>
          <w:sz w:val="24"/>
          <w:szCs w:val="24"/>
        </w:rPr>
        <w:t xml:space="preserve">】 </w:t>
      </w:r>
      <w:r>
        <w:rPr>
          <w:rFonts w:hint="eastAsia" w:ascii="Times New Roman" w:hAnsi="Times New Roman" w:eastAsia="宋体" w:cs="Times New Roman"/>
          <w:color w:val="000000"/>
          <w:sz w:val="24"/>
          <w:szCs w:val="24"/>
          <w:lang w:val="en-US" w:eastAsia="zh-CN"/>
        </w:rPr>
        <w:t xml:space="preserve"> </w:t>
      </w:r>
      <w:bookmarkStart w:id="0" w:name="_GoBack"/>
      <w:bookmarkEnd w:id="0"/>
      <w:r>
        <w:rPr>
          <w:rFonts w:ascii="Times New Roman" w:hAnsi="Times New Roman" w:eastAsia="宋体" w:cs="Times New Roman"/>
          <w:bCs/>
          <w:sz w:val="24"/>
          <w:szCs w:val="21"/>
        </w:rPr>
        <w:t>取本品适量，研细，取约2g，精密称定，精密加入乙醇100ml，照醇溶性浸出物测定法（中国药典 通则2201）项下的热浸法测定，不得少于11.0%。</w:t>
      </w:r>
    </w:p>
    <w:p w14:paraId="6ECD8E65">
      <w:pPr>
        <w:spacing w:line="360" w:lineRule="auto"/>
        <w:ind w:firstLine="480" w:firstLineChars="200"/>
        <w:rPr>
          <w:rFonts w:ascii="Times New Roman" w:hAnsi="Times New Roman" w:eastAsia="宋体" w:cs="Times New Roman"/>
          <w:bCs/>
          <w:sz w:val="24"/>
          <w:szCs w:val="21"/>
        </w:rPr>
      </w:pPr>
      <w:r>
        <w:rPr>
          <w:rFonts w:ascii="Calibri" w:hAnsi="Calibri" w:eastAsia="宋体" w:cs="Times New Roman"/>
          <w:sz w:val="24"/>
        </w:rPr>
        <w:t>【</w:t>
      </w:r>
      <w:r>
        <w:rPr>
          <w:rFonts w:ascii="Calibri" w:hAnsi="Calibri" w:eastAsia="宋体" w:cs="Times New Roman"/>
          <w:b/>
          <w:bCs/>
          <w:sz w:val="24"/>
        </w:rPr>
        <w:t>含量测定</w:t>
      </w:r>
      <w:r>
        <w:rPr>
          <w:rFonts w:ascii="Calibri" w:hAnsi="Calibri" w:eastAsia="宋体" w:cs="Times New Roman"/>
          <w:sz w:val="24"/>
        </w:rPr>
        <w:t>】</w:t>
      </w:r>
      <w:r>
        <w:rPr>
          <w:rFonts w:hint="eastAsia" w:ascii="Calibri" w:hAnsi="Calibri" w:eastAsia="宋体" w:cs="Times New Roman"/>
          <w:sz w:val="24"/>
        </w:rPr>
        <w:t xml:space="preserve"> </w:t>
      </w:r>
      <w:r>
        <w:rPr>
          <w:rFonts w:ascii="Calibri" w:hAnsi="Calibri" w:eastAsia="宋体" w:cs="Times New Roman"/>
          <w:sz w:val="24"/>
        </w:rPr>
        <w:t xml:space="preserve"> </w:t>
      </w:r>
      <w:r>
        <w:rPr>
          <w:rFonts w:ascii="Calibri" w:hAnsi="Calibri" w:eastAsia="宋体" w:cs="Times New Roman"/>
          <w:bCs/>
          <w:sz w:val="24"/>
        </w:rPr>
        <w:t>照高效液相色谱法（中国药典 通则</w:t>
      </w:r>
      <w:r>
        <w:rPr>
          <w:rFonts w:ascii="Times New Roman" w:hAnsi="Times New Roman" w:eastAsia="宋体" w:cs="Times New Roman"/>
          <w:bCs/>
          <w:sz w:val="24"/>
        </w:rPr>
        <w:t>0512）测定。</w:t>
      </w:r>
    </w:p>
    <w:p w14:paraId="6C37779C">
      <w:pPr>
        <w:spacing w:line="360" w:lineRule="auto"/>
        <w:ind w:firstLine="472" w:firstLineChars="196"/>
        <w:jc w:val="left"/>
        <w:rPr>
          <w:rFonts w:ascii="Times New Roman" w:hAnsi="Times New Roman" w:eastAsia="宋体" w:cs="Times New Roman"/>
          <w:color w:val="000000"/>
          <w:sz w:val="24"/>
          <w:szCs w:val="24"/>
        </w:rPr>
      </w:pPr>
      <w:r>
        <w:rPr>
          <w:rFonts w:ascii="Times New Roman" w:hAnsi="Times New Roman" w:eastAsia="宋体" w:cs="Times New Roman"/>
          <w:b/>
          <w:color w:val="000000"/>
          <w:sz w:val="24"/>
          <w:szCs w:val="24"/>
        </w:rPr>
        <w:t xml:space="preserve">色谱条件与系统适用性试验  </w:t>
      </w:r>
      <w:r>
        <w:rPr>
          <w:rFonts w:ascii="Times New Roman" w:hAnsi="Times New Roman" w:eastAsia="宋体" w:cs="Times New Roman"/>
          <w:color w:val="000000"/>
          <w:sz w:val="24"/>
          <w:szCs w:val="24"/>
        </w:rPr>
        <w:t>以十八烷基硅烷键合硅胶为填充剂；以甲醇-0.05%磷酸溶液（5︰95）为流动相；流速为0.8ml/</w:t>
      </w:r>
      <w:r>
        <w:rPr>
          <w:rFonts w:hint="eastAsia" w:ascii="Times New Roman" w:hAnsi="Times New Roman" w:eastAsia="宋体" w:cs="Times New Roman"/>
          <w:color w:val="000000"/>
          <w:sz w:val="24"/>
          <w:szCs w:val="24"/>
        </w:rPr>
        <w:t>min</w:t>
      </w:r>
      <w:r>
        <w:rPr>
          <w:rFonts w:ascii="Times New Roman" w:hAnsi="Times New Roman" w:eastAsia="宋体" w:cs="Times New Roman"/>
          <w:color w:val="000000"/>
          <w:sz w:val="24"/>
          <w:szCs w:val="24"/>
        </w:rPr>
        <w:t>；柱温为30℃；检测波长为273nm。理论板数按没食子酸峰计应不低于3000。</w:t>
      </w:r>
    </w:p>
    <w:p w14:paraId="3169263E">
      <w:pPr>
        <w:spacing w:line="360" w:lineRule="auto"/>
        <w:ind w:firstLine="472" w:firstLineChars="196"/>
        <w:jc w:val="left"/>
        <w:rPr>
          <w:rFonts w:ascii="Times New Roman" w:hAnsi="Times New Roman" w:eastAsia="宋体" w:cs="Times New Roman"/>
          <w:color w:val="000000"/>
          <w:sz w:val="24"/>
          <w:szCs w:val="24"/>
        </w:rPr>
      </w:pPr>
      <w:r>
        <w:rPr>
          <w:rFonts w:ascii="Times New Roman" w:hAnsi="Times New Roman" w:eastAsia="宋体" w:cs="Times New Roman"/>
          <w:b/>
          <w:color w:val="000000"/>
          <w:sz w:val="24"/>
          <w:szCs w:val="24"/>
        </w:rPr>
        <w:t>对照品溶液的制备</w:t>
      </w:r>
      <w:r>
        <w:rPr>
          <w:rFonts w:ascii="Times New Roman" w:hAnsi="Times New Roman" w:eastAsia="宋体" w:cs="Times New Roman"/>
          <w:color w:val="000000"/>
          <w:sz w:val="24"/>
          <w:szCs w:val="24"/>
        </w:rPr>
        <w:t xml:space="preserve">  取没食子酸对照品适量，精密称定，加水制成每1ml含15μg的溶液，即得。</w:t>
      </w:r>
    </w:p>
    <w:p w14:paraId="546CE863">
      <w:pPr>
        <w:spacing w:line="360" w:lineRule="auto"/>
        <w:ind w:firstLine="472" w:firstLineChars="196"/>
        <w:jc w:val="left"/>
        <w:rPr>
          <w:rFonts w:ascii="Times New Roman" w:hAnsi="Times New Roman" w:eastAsia="宋体" w:cs="Times New Roman"/>
          <w:sz w:val="24"/>
        </w:rPr>
      </w:pPr>
      <w:r>
        <w:rPr>
          <w:rFonts w:ascii="Times New Roman" w:hAnsi="Times New Roman" w:eastAsia="宋体" w:cs="Times New Roman"/>
          <w:b/>
          <w:color w:val="000000"/>
          <w:sz w:val="24"/>
          <w:szCs w:val="24"/>
        </w:rPr>
        <w:t>供试品溶液的制备</w:t>
      </w:r>
      <w:r>
        <w:rPr>
          <w:rFonts w:ascii="Times New Roman" w:hAnsi="Times New Roman" w:eastAsia="宋体" w:cs="Times New Roman"/>
          <w:color w:val="000000"/>
          <w:sz w:val="24"/>
          <w:szCs w:val="24"/>
        </w:rPr>
        <w:t xml:space="preserve">  </w:t>
      </w:r>
      <w:r>
        <w:rPr>
          <w:rFonts w:ascii="Times New Roman" w:hAnsi="Times New Roman" w:eastAsia="宋体" w:cs="Times New Roman"/>
          <w:sz w:val="24"/>
        </w:rPr>
        <w:t>取本品适量，研细，取约0.1g，精密称定，置具塞锥形瓶中，精密加入3mol/L盐酸溶液50ml，称定重量，加热回流3小时，放冷，再称定重量，用3mol/L盐酸溶液补足减失的重量，摇匀，滤过，精密量取续滤液10ml，置50ml量瓶中，用水稀释至刻度，摇匀，滤过，取续滤液，即得。</w:t>
      </w:r>
    </w:p>
    <w:p w14:paraId="656B4756">
      <w:pPr>
        <w:spacing w:line="360" w:lineRule="auto"/>
        <w:ind w:firstLine="472" w:firstLineChars="196"/>
        <w:jc w:val="left"/>
        <w:rPr>
          <w:rFonts w:ascii="Times New Roman" w:hAnsi="Times New Roman" w:eastAsia="宋体" w:cs="Times New Roman"/>
          <w:color w:val="000000"/>
          <w:sz w:val="24"/>
          <w:szCs w:val="24"/>
        </w:rPr>
      </w:pPr>
      <w:r>
        <w:rPr>
          <w:rFonts w:ascii="Times New Roman" w:hAnsi="Times New Roman" w:eastAsia="宋体" w:cs="Times New Roman"/>
          <w:b/>
          <w:color w:val="000000"/>
          <w:sz w:val="24"/>
          <w:szCs w:val="24"/>
        </w:rPr>
        <w:t>测定法</w:t>
      </w:r>
      <w:r>
        <w:rPr>
          <w:rFonts w:ascii="Times New Roman" w:hAnsi="Times New Roman" w:eastAsia="宋体" w:cs="Times New Roman"/>
          <w:color w:val="000000"/>
          <w:sz w:val="24"/>
          <w:szCs w:val="24"/>
        </w:rPr>
        <w:t xml:space="preserve">  分别精密吸取对照品溶液与供试品溶液各10μl，注入液相色谱仪，测定，即得。</w:t>
      </w:r>
    </w:p>
    <w:p w14:paraId="18070F04">
      <w:pPr>
        <w:spacing w:line="360" w:lineRule="auto"/>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本品每1g含没食子酸（C</w:t>
      </w:r>
      <w:r>
        <w:rPr>
          <w:rFonts w:ascii="Times New Roman" w:hAnsi="Times New Roman" w:eastAsia="宋体" w:cs="Times New Roman"/>
          <w:color w:val="000000"/>
          <w:sz w:val="24"/>
          <w:szCs w:val="24"/>
          <w:vertAlign w:val="subscript"/>
        </w:rPr>
        <w:t>7</w:t>
      </w:r>
      <w:r>
        <w:rPr>
          <w:rFonts w:ascii="Times New Roman" w:hAnsi="Times New Roman" w:eastAsia="宋体" w:cs="Times New Roman"/>
          <w:color w:val="000000"/>
          <w:sz w:val="24"/>
          <w:szCs w:val="24"/>
        </w:rPr>
        <w:t>H</w:t>
      </w:r>
      <w:r>
        <w:rPr>
          <w:rFonts w:ascii="Times New Roman" w:hAnsi="Times New Roman" w:eastAsia="宋体" w:cs="Times New Roman"/>
          <w:color w:val="000000"/>
          <w:sz w:val="24"/>
          <w:szCs w:val="24"/>
          <w:vertAlign w:val="subscript"/>
        </w:rPr>
        <w:t>6</w:t>
      </w:r>
      <w:r>
        <w:rPr>
          <w:rFonts w:ascii="Times New Roman" w:hAnsi="Times New Roman" w:eastAsia="宋体" w:cs="Times New Roman"/>
          <w:color w:val="000000"/>
          <w:sz w:val="24"/>
          <w:szCs w:val="24"/>
        </w:rPr>
        <w:t>O</w:t>
      </w:r>
      <w:r>
        <w:rPr>
          <w:rFonts w:ascii="Times New Roman" w:hAnsi="Times New Roman" w:eastAsia="宋体" w:cs="Times New Roman"/>
          <w:color w:val="000000"/>
          <w:sz w:val="24"/>
          <w:szCs w:val="24"/>
          <w:vertAlign w:val="subscript"/>
        </w:rPr>
        <w:t>5</w:t>
      </w:r>
      <w:r>
        <w:rPr>
          <w:rFonts w:ascii="Times New Roman" w:hAnsi="Times New Roman" w:eastAsia="宋体" w:cs="Times New Roman"/>
          <w:color w:val="000000"/>
          <w:sz w:val="24"/>
          <w:szCs w:val="24"/>
        </w:rPr>
        <w:t>）应为12.0~48.0mg。</w:t>
      </w:r>
    </w:p>
    <w:p w14:paraId="4C1613FF">
      <w:pPr>
        <w:spacing w:line="360" w:lineRule="auto"/>
        <w:ind w:firstLine="480" w:firstLineChars="200"/>
        <w:rPr>
          <w:rFonts w:ascii="Times New Roman" w:hAnsi="Times New Roman" w:eastAsia="宋体" w:cs="Times New Roman"/>
          <w:sz w:val="24"/>
          <w:szCs w:val="21"/>
        </w:rPr>
      </w:pPr>
      <w:r>
        <w:rPr>
          <w:rFonts w:ascii="Times New Roman" w:hAnsi="Times New Roman" w:eastAsia="宋体" w:cs="Times New Roman"/>
          <w:sz w:val="24"/>
          <w:szCs w:val="21"/>
        </w:rPr>
        <w:t>【</w:t>
      </w:r>
      <w:r>
        <w:rPr>
          <w:rFonts w:ascii="Times New Roman" w:hAnsi="Times New Roman" w:eastAsia="宋体" w:cs="Times New Roman"/>
          <w:b/>
          <w:bCs/>
          <w:sz w:val="24"/>
          <w:szCs w:val="21"/>
        </w:rPr>
        <w:t>规格</w:t>
      </w:r>
      <w:r>
        <w:rPr>
          <w:rFonts w:ascii="Times New Roman" w:hAnsi="Times New Roman" w:eastAsia="宋体" w:cs="Times New Roman"/>
          <w:sz w:val="24"/>
          <w:szCs w:val="21"/>
        </w:rPr>
        <w:t xml:space="preserve">】 </w:t>
      </w:r>
      <w:r>
        <w:rPr>
          <w:rFonts w:hint="eastAsia" w:ascii="Times New Roman" w:hAnsi="Times New Roman" w:eastAsia="宋体" w:cs="Times New Roman"/>
          <w:sz w:val="24"/>
          <w:szCs w:val="21"/>
          <w:lang w:val="en-US" w:eastAsia="zh-CN"/>
        </w:rPr>
        <w:t xml:space="preserve"> </w:t>
      </w:r>
      <w:r>
        <w:rPr>
          <w:rFonts w:ascii="Times New Roman" w:hAnsi="Times New Roman" w:eastAsia="宋体" w:cs="Times New Roman"/>
          <w:sz w:val="24"/>
          <w:szCs w:val="21"/>
        </w:rPr>
        <w:t>每1g配方颗粒相当于饮片4.0g</w:t>
      </w:r>
    </w:p>
    <w:p w14:paraId="29D423F5">
      <w:pPr>
        <w:ind w:firstLine="480" w:firstLineChars="200"/>
      </w:pPr>
      <w:r>
        <w:rPr>
          <w:rFonts w:ascii="Times New Roman" w:hAnsi="Times New Roman" w:eastAsia="宋体" w:cs="Times New Roman"/>
          <w:sz w:val="24"/>
          <w:szCs w:val="21"/>
        </w:rPr>
        <w:t>【</w:t>
      </w:r>
      <w:r>
        <w:rPr>
          <w:rFonts w:ascii="Times New Roman" w:hAnsi="Times New Roman" w:eastAsia="宋体" w:cs="Times New Roman"/>
          <w:b/>
          <w:bCs/>
          <w:sz w:val="24"/>
          <w:szCs w:val="21"/>
        </w:rPr>
        <w:t>贮藏</w:t>
      </w:r>
      <w:r>
        <w:rPr>
          <w:rFonts w:ascii="Times New Roman" w:hAnsi="Times New Roman" w:eastAsia="宋体" w:cs="Times New Roman"/>
          <w:sz w:val="24"/>
          <w:szCs w:val="21"/>
        </w:rPr>
        <w:t xml:space="preserve">】 </w:t>
      </w:r>
      <w:r>
        <w:rPr>
          <w:rFonts w:hint="eastAsia" w:ascii="Times New Roman" w:hAnsi="Times New Roman" w:eastAsia="宋体" w:cs="Times New Roman"/>
          <w:sz w:val="24"/>
          <w:szCs w:val="21"/>
          <w:lang w:val="en-US" w:eastAsia="zh-CN"/>
        </w:rPr>
        <w:t xml:space="preserve"> </w:t>
      </w:r>
      <w:r>
        <w:rPr>
          <w:rFonts w:ascii="Times New Roman" w:hAnsi="Times New Roman" w:eastAsia="宋体" w:cs="Times New Roman"/>
          <w:sz w:val="24"/>
          <w:szCs w:val="21"/>
        </w:rPr>
        <w:t>密封。</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11E30">
    <w:pPr>
      <w:pBdr>
        <w:bottom w:val="single" w:color="auto" w:sz="6" w:space="1"/>
      </w:pBdr>
      <w:tabs>
        <w:tab w:val="center" w:pos="4153"/>
        <w:tab w:val="right" w:pos="8306"/>
      </w:tabs>
      <w:snapToGrid w:val="0"/>
      <w:jc w:val="center"/>
      <w:rPr>
        <w:rFonts w:ascii="Times New Roman" w:hAnsi="Times New Roman" w:eastAsia="宋体" w:cs="黑体"/>
        <w:sz w:val="18"/>
      </w:rPr>
    </w:pPr>
    <w:r>
      <w:rPr>
        <w:rFonts w:ascii="Times New Roman" w:hAnsi="Times New Roman" w:eastAsia="宋体" w:cs="黑体"/>
        <w:sz w:val="18"/>
      </w:rPr>
      <w:pict>
        <v:shape id="PowerPlusWaterMarkObject65224" o:spid="_x0000_s4097" o:spt="136" type="#_x0000_t136" style="position:absolute;left:0pt;height:39.05pt;width:548.2pt;mso-position-horizontal:center;mso-position-horizontal-relative:margin;mso-position-vertical:center;mso-position-vertical-relative:margin;rotation:-2949120f;z-index:-251657216;mso-width-relative:page;mso-height-relative:page;" fillcolor="#C0C0C0" filled="t" stroked="f" coordsize="21600,21600">
          <v:path/>
          <v:fill on="t" opacity="32768f" focussize="0,0"/>
          <v:stroke on="f"/>
          <v:imagedata o:title=""/>
          <o:lock v:ext="edit" aspectratio="t"/>
          <v:textpath on="t" fitshape="t" fitpath="t" trim="t" xscale="f" string="江苏省中药配方颗粒质量标准公示稿" style="font-family:宋体;font-size:36pt;v-text-align:center;"/>
        </v:shape>
      </w:pict>
    </w:r>
    <w:r>
      <w:rPr>
        <w:rFonts w:hint="eastAsia" w:ascii="Calibri" w:hAnsi="Calibri" w:eastAsia="宋体" w:cs="Times New Roman"/>
        <w:sz w:val="28"/>
        <w:szCs w:val="28"/>
      </w:rPr>
      <w:t>江苏省中药配方颗粒质量标准公示稿</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AB4"/>
    <w:rsid w:val="00036F75"/>
    <w:rsid w:val="000976FD"/>
    <w:rsid w:val="000A2071"/>
    <w:rsid w:val="000B4D9A"/>
    <w:rsid w:val="000C5730"/>
    <w:rsid w:val="000E0E5D"/>
    <w:rsid w:val="00107655"/>
    <w:rsid w:val="00107F9E"/>
    <w:rsid w:val="001326E7"/>
    <w:rsid w:val="00146EBB"/>
    <w:rsid w:val="001B76FE"/>
    <w:rsid w:val="0021093E"/>
    <w:rsid w:val="00230802"/>
    <w:rsid w:val="002468DA"/>
    <w:rsid w:val="00276645"/>
    <w:rsid w:val="00287B21"/>
    <w:rsid w:val="00291B5F"/>
    <w:rsid w:val="00392709"/>
    <w:rsid w:val="00410E00"/>
    <w:rsid w:val="00456B21"/>
    <w:rsid w:val="004B4934"/>
    <w:rsid w:val="004D2025"/>
    <w:rsid w:val="004D2149"/>
    <w:rsid w:val="00500DCD"/>
    <w:rsid w:val="005A52D8"/>
    <w:rsid w:val="005E4699"/>
    <w:rsid w:val="005F5EB1"/>
    <w:rsid w:val="006064E5"/>
    <w:rsid w:val="00610AB1"/>
    <w:rsid w:val="0064611C"/>
    <w:rsid w:val="006740D9"/>
    <w:rsid w:val="0068484E"/>
    <w:rsid w:val="00706C50"/>
    <w:rsid w:val="0072226D"/>
    <w:rsid w:val="007A5E94"/>
    <w:rsid w:val="008344FE"/>
    <w:rsid w:val="00957AB4"/>
    <w:rsid w:val="00981E8E"/>
    <w:rsid w:val="009B4D62"/>
    <w:rsid w:val="009D130D"/>
    <w:rsid w:val="009E42F0"/>
    <w:rsid w:val="009E7289"/>
    <w:rsid w:val="009F41FA"/>
    <w:rsid w:val="00A16BBE"/>
    <w:rsid w:val="00A3171C"/>
    <w:rsid w:val="00A537CA"/>
    <w:rsid w:val="00A96167"/>
    <w:rsid w:val="00AE1CAC"/>
    <w:rsid w:val="00B56B53"/>
    <w:rsid w:val="00BC7843"/>
    <w:rsid w:val="00BD7321"/>
    <w:rsid w:val="00C41DC3"/>
    <w:rsid w:val="00C94330"/>
    <w:rsid w:val="00CD2660"/>
    <w:rsid w:val="00CD44FB"/>
    <w:rsid w:val="00CD5340"/>
    <w:rsid w:val="00CE0860"/>
    <w:rsid w:val="00CE300E"/>
    <w:rsid w:val="00ED5BAD"/>
    <w:rsid w:val="00EE5961"/>
    <w:rsid w:val="00FB6BC7"/>
    <w:rsid w:val="00FE63DF"/>
    <w:rsid w:val="3C6B1872"/>
    <w:rsid w:val="581A56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99" w:semiHidden="0" w:name="heading 3"/>
    <w:lsdException w:qFormat="1"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autoRedefine/>
    <w:qFormat/>
    <w:uiPriority w:val="99"/>
    <w:pPr>
      <w:keepNext/>
      <w:keepLines/>
      <w:spacing w:before="100" w:beforeLines="100" w:after="100" w:afterLines="100" w:line="360" w:lineRule="auto"/>
      <w:outlineLvl w:val="0"/>
    </w:pPr>
    <w:rPr>
      <w:b/>
      <w:bCs/>
      <w:kern w:val="44"/>
      <w:sz w:val="28"/>
      <w:szCs w:val="44"/>
    </w:rPr>
  </w:style>
  <w:style w:type="paragraph" w:styleId="3">
    <w:name w:val="heading 2"/>
    <w:basedOn w:val="1"/>
    <w:next w:val="1"/>
    <w:link w:val="13"/>
    <w:autoRedefine/>
    <w:unhideWhenUsed/>
    <w:qFormat/>
    <w:uiPriority w:val="99"/>
    <w:pPr>
      <w:keepNext/>
      <w:keepLines/>
      <w:spacing w:line="360" w:lineRule="auto"/>
      <w:outlineLvl w:val="1"/>
    </w:pPr>
    <w:rPr>
      <w:b/>
      <w:bCs/>
      <w:szCs w:val="24"/>
    </w:rPr>
  </w:style>
  <w:style w:type="paragraph" w:styleId="4">
    <w:name w:val="heading 3"/>
    <w:basedOn w:val="1"/>
    <w:next w:val="1"/>
    <w:link w:val="14"/>
    <w:autoRedefine/>
    <w:unhideWhenUsed/>
    <w:qFormat/>
    <w:uiPriority w:val="99"/>
    <w:pPr>
      <w:keepNext/>
      <w:keepLines/>
      <w:spacing w:line="360" w:lineRule="auto"/>
      <w:outlineLvl w:val="2"/>
    </w:pPr>
    <w:rPr>
      <w:b/>
      <w:bCs/>
      <w:szCs w:val="32"/>
    </w:rPr>
  </w:style>
  <w:style w:type="paragraph" w:styleId="5">
    <w:name w:val="heading 4"/>
    <w:basedOn w:val="1"/>
    <w:next w:val="1"/>
    <w:link w:val="15"/>
    <w:autoRedefine/>
    <w:unhideWhenUsed/>
    <w:qFormat/>
    <w:uiPriority w:val="99"/>
    <w:pPr>
      <w:keepNext/>
      <w:keepLines/>
      <w:spacing w:line="360" w:lineRule="auto"/>
      <w:outlineLvl w:val="3"/>
    </w:pPr>
    <w:rPr>
      <w:rFonts w:cstheme="majorBidi"/>
      <w:b/>
      <w:bCs/>
      <w:szCs w:val="28"/>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0"/>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字符"/>
    <w:basedOn w:val="11"/>
    <w:link w:val="2"/>
    <w:qFormat/>
    <w:uiPriority w:val="99"/>
    <w:rPr>
      <w:b/>
      <w:bCs/>
      <w:kern w:val="44"/>
      <w:sz w:val="28"/>
      <w:szCs w:val="44"/>
    </w:rPr>
  </w:style>
  <w:style w:type="character" w:customStyle="1" w:styleId="13">
    <w:name w:val="标题 2 字符"/>
    <w:basedOn w:val="11"/>
    <w:link w:val="3"/>
    <w:qFormat/>
    <w:uiPriority w:val="99"/>
    <w:rPr>
      <w:b/>
      <w:bCs/>
      <w:szCs w:val="24"/>
    </w:rPr>
  </w:style>
  <w:style w:type="character" w:customStyle="1" w:styleId="14">
    <w:name w:val="标题 3 字符"/>
    <w:basedOn w:val="11"/>
    <w:link w:val="4"/>
    <w:qFormat/>
    <w:uiPriority w:val="99"/>
    <w:rPr>
      <w:b/>
      <w:bCs/>
      <w:szCs w:val="32"/>
    </w:rPr>
  </w:style>
  <w:style w:type="character" w:customStyle="1" w:styleId="15">
    <w:name w:val="标题 4 字符"/>
    <w:basedOn w:val="11"/>
    <w:link w:val="5"/>
    <w:qFormat/>
    <w:uiPriority w:val="99"/>
    <w:rPr>
      <w:rFonts w:cstheme="majorBidi"/>
      <w:b/>
      <w:bCs/>
      <w:szCs w:val="28"/>
    </w:rPr>
  </w:style>
  <w:style w:type="character" w:customStyle="1" w:styleId="16">
    <w:name w:val="页眉 字符"/>
    <w:basedOn w:val="11"/>
    <w:link w:val="8"/>
    <w:qFormat/>
    <w:uiPriority w:val="99"/>
    <w:rPr>
      <w:sz w:val="18"/>
      <w:szCs w:val="18"/>
    </w:rPr>
  </w:style>
  <w:style w:type="character" w:customStyle="1" w:styleId="17">
    <w:name w:val="页脚 字符"/>
    <w:basedOn w:val="11"/>
    <w:link w:val="7"/>
    <w:qFormat/>
    <w:uiPriority w:val="99"/>
    <w:rPr>
      <w:sz w:val="18"/>
      <w:szCs w:val="18"/>
    </w:rPr>
  </w:style>
  <w:style w:type="table" w:customStyle="1" w:styleId="18">
    <w:name w:val="三线表1"/>
    <w:basedOn w:val="9"/>
    <w:qFormat/>
    <w:uiPriority w:val="99"/>
    <w:rPr>
      <w:kern w:val="0"/>
      <w:sz w:val="21"/>
      <w:szCs w:val="20"/>
    </w:rPr>
    <w:tblPr>
      <w:jc w:val="center"/>
      <w:tblBorders>
        <w:top w:val="single" w:color="auto" w:sz="12" w:space="0"/>
        <w:bottom w:val="single" w:color="auto" w:sz="12" w:space="0"/>
      </w:tblBorders>
    </w:tblPr>
    <w:trPr>
      <w:jc w:val="center"/>
    </w:trPr>
    <w:tcPr>
      <w:vAlign w:val="center"/>
    </w:tcPr>
    <w:tblStylePr w:type="firstRow">
      <w:tcPr>
        <w:tcBorders>
          <w:top w:val="single" w:color="auto" w:sz="12" w:space="0"/>
          <w:left w:val="nil"/>
          <w:bottom w:val="single" w:color="auto" w:sz="8" w:space="0"/>
          <w:right w:val="nil"/>
          <w:insideH w:val="nil"/>
          <w:insideV w:val="nil"/>
          <w:tl2br w:val="nil"/>
          <w:tr2bl w:val="nil"/>
        </w:tcBorders>
      </w:tcPr>
    </w:tblStylePr>
  </w:style>
  <w:style w:type="table" w:customStyle="1" w:styleId="19">
    <w:name w:val="网格型1"/>
    <w:basedOn w:val="9"/>
    <w:qFormat/>
    <w:uiPriority w:val="0"/>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20">
    <w:name w:val="批注框文本 字符"/>
    <w:basedOn w:val="11"/>
    <w:link w:val="6"/>
    <w:semiHidden/>
    <w:qFormat/>
    <w:uiPriority w:val="99"/>
    <w:rPr>
      <w:rFonts w:asciiTheme="minorHAnsi" w:hAnsiTheme="minorHAnsi" w:eastAsiaTheme="minorEastAsia" w:cstheme="minorBidi"/>
      <w:sz w:val="18"/>
      <w:szCs w:val="18"/>
    </w:rPr>
  </w:style>
  <w:style w:type="table" w:customStyle="1" w:styleId="21">
    <w:name w:val="三线表"/>
    <w:basedOn w:val="9"/>
    <w:qFormat/>
    <w:uiPriority w:val="99"/>
    <w:rPr>
      <w:kern w:val="0"/>
      <w:sz w:val="21"/>
      <w:szCs w:val="20"/>
    </w:rPr>
    <w:tblPr>
      <w:jc w:val="center"/>
      <w:tblBorders>
        <w:top w:val="single" w:color="auto" w:sz="12" w:space="0"/>
        <w:bottom w:val="single" w:color="auto" w:sz="12" w:space="0"/>
      </w:tblBorders>
    </w:tblPr>
    <w:trPr>
      <w:jc w:val="center"/>
    </w:trPr>
    <w:tcPr>
      <w:vAlign w:val="center"/>
    </w:tcPr>
    <w:tblStylePr w:type="firstRow">
      <w:tcPr>
        <w:tcBorders>
          <w:top w:val="single" w:color="auto" w:sz="12" w:space="0"/>
          <w:left w:val="nil"/>
          <w:bottom w:val="single" w:color="auto" w:sz="8" w:space="0"/>
          <w:right w:val="nil"/>
          <w:insideH w:val="nil"/>
          <w:insideV w:val="nil"/>
          <w:tl2br w:val="nil"/>
          <w:tr2bl w:val="nil"/>
        </w:tcBorders>
      </w:tcPr>
    </w:tblStylePr>
  </w:style>
  <w:style w:type="table" w:customStyle="1" w:styleId="22">
    <w:name w:val="样式2"/>
    <w:basedOn w:val="9"/>
    <w:qFormat/>
    <w:uiPriority w:val="99"/>
    <w:pPr>
      <w:jc w:val="center"/>
    </w:pPr>
    <w:rPr>
      <w:kern w:val="0"/>
      <w:sz w:val="21"/>
      <w:szCs w:val="20"/>
    </w:rPr>
    <w:tblPr>
      <w:jc w:val="center"/>
      <w:tblBorders>
        <w:top w:val="single" w:color="auto" w:sz="12" w:space="0"/>
        <w:bottom w:val="single" w:color="auto" w:sz="12" w:space="0"/>
      </w:tblBorders>
    </w:tblPr>
    <w:trPr>
      <w:jc w:val="center"/>
    </w:trPr>
    <w:tcPr>
      <w:vAlign w:val="center"/>
    </w:tcPr>
    <w:tblStylePr w:type="firstRow">
      <w:tcPr>
        <w:tcBorders>
          <w:bottom w:val="single" w:color="auto" w:sz="8" w:space="0"/>
        </w:tcBorders>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60AAD3-4B80-4A02-BF67-1E04B473D476}">
  <ds:schemaRefs/>
</ds:datastoreItem>
</file>

<file path=docProps/app.xml><?xml version="1.0" encoding="utf-8"?>
<Properties xmlns="http://schemas.openxmlformats.org/officeDocument/2006/extended-properties" xmlns:vt="http://schemas.openxmlformats.org/officeDocument/2006/docPropsVTypes">
  <Template>Normal</Template>
  <Pages>3</Pages>
  <Words>1420</Words>
  <Characters>1706</Characters>
  <Lines>15</Lines>
  <Paragraphs>4</Paragraphs>
  <TotalTime>458</TotalTime>
  <ScaleCrop>false</ScaleCrop>
  <LinksUpToDate>false</LinksUpToDate>
  <CharactersWithSpaces>1756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2022-10-28T08:09:00Z</dcterms:created>
  <dc:creator>顾珂镭</dc:creator>
  <cp:lastModifiedBy>李小蜗</cp:lastModifiedBy>
  <dcterms:modified xsi:type="dcterms:W3CDTF">2025-01-09T05:54:52Z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eyJoZGlkIjoiMmI2MzE1NTQ0YjVhODQxYzZkZTNmMjdmMTczZTQ5ODMiLCJ1c2VySWQiOiIzMDE1NzkzNzYifQ==</vt:lpwstr>
  </property>
  <property fmtid="{D5CDD505-2E9C-101B-9397-08002B2CF9AE}" pid="3" name="KSOProductBuildVer">
    <vt:lpwstr>2052-12.1.0.19770</vt:lpwstr>
  </property>
  <property fmtid="{D5CDD505-2E9C-101B-9397-08002B2CF9AE}" pid="4" name="ICV">
    <vt:lpwstr>B8EC60D97A154D899B9AE174A951E055_13</vt:lpwstr>
  </property>
</Properties>
</file>