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F9CB0">
      <w:pPr>
        <w:adjustRightInd w:val="0"/>
        <w:snapToGrid w:val="0"/>
        <w:spacing w:before="240" w:line="360" w:lineRule="auto"/>
        <w:jc w:val="center"/>
        <w:rPr>
          <w:rFonts w:ascii="Times New Roman" w:hAnsi="Times New Roman" w:eastAsia="宋体" w:cs="Times New Roman"/>
          <w:b/>
          <w:bCs/>
          <w:sz w:val="28"/>
          <w:szCs w:val="28"/>
        </w:rPr>
      </w:pPr>
      <w:r>
        <w:rPr>
          <w:rFonts w:ascii="Times New Roman" w:hAnsi="Times New Roman" w:eastAsia="宋体" w:cs="Times New Roman"/>
          <w:b/>
          <w:bCs/>
          <w:sz w:val="28"/>
          <w:szCs w:val="28"/>
        </w:rPr>
        <w:t>花椒（花椒）配方颗粒</w:t>
      </w:r>
    </w:p>
    <w:p w14:paraId="3EA9189B">
      <w:pPr>
        <w:adjustRightInd w:val="0"/>
        <w:snapToGrid w:val="0"/>
        <w:spacing w:line="360" w:lineRule="auto"/>
        <w:jc w:val="center"/>
        <w:rPr>
          <w:rFonts w:ascii="Times New Roman" w:hAnsi="Times New Roman" w:eastAsia="宋体" w:cs="Times New Roman"/>
          <w:b/>
          <w:bCs/>
          <w:sz w:val="28"/>
          <w:szCs w:val="28"/>
        </w:rPr>
      </w:pPr>
      <w:r>
        <w:rPr>
          <w:rFonts w:ascii="Times New Roman" w:hAnsi="Times New Roman" w:eastAsia="Times New Roman" w:cs="Times New Roman"/>
          <w:b/>
          <w:bCs/>
          <w:spacing w:val="-1"/>
          <w:sz w:val="28"/>
          <w:szCs w:val="28"/>
        </w:rPr>
        <w:t>Huajiao</w:t>
      </w:r>
      <w:r>
        <w:rPr>
          <w:rFonts w:ascii="Times New Roman" w:hAnsi="Times New Roman" w:eastAsia="宋体" w:cs="Times New Roman"/>
          <w:b/>
          <w:bCs/>
          <w:spacing w:val="-1"/>
          <w:sz w:val="28"/>
          <w:szCs w:val="28"/>
        </w:rPr>
        <w:t>（H</w:t>
      </w:r>
      <w:r>
        <w:rPr>
          <w:rFonts w:ascii="Times New Roman" w:hAnsi="Times New Roman" w:eastAsia="Times New Roman" w:cs="Times New Roman"/>
          <w:b/>
          <w:bCs/>
          <w:spacing w:val="-1"/>
          <w:sz w:val="28"/>
          <w:szCs w:val="28"/>
        </w:rPr>
        <w:t>uajiao</w:t>
      </w:r>
      <w:r>
        <w:rPr>
          <w:rFonts w:ascii="Times New Roman" w:hAnsi="Times New Roman" w:eastAsia="宋体" w:cs="Times New Roman"/>
          <w:b/>
          <w:bCs/>
          <w:spacing w:val="-1"/>
          <w:sz w:val="28"/>
          <w:szCs w:val="28"/>
        </w:rPr>
        <w:t>）</w:t>
      </w:r>
      <w:r>
        <w:rPr>
          <w:rFonts w:ascii="Times New Roman" w:hAnsi="Times New Roman" w:eastAsia="Times New Roman" w:cs="Times New Roman"/>
          <w:b/>
          <w:bCs/>
          <w:spacing w:val="-1"/>
          <w:sz w:val="28"/>
          <w:szCs w:val="28"/>
        </w:rPr>
        <w:t xml:space="preserve"> </w:t>
      </w:r>
      <w:r>
        <w:rPr>
          <w:rFonts w:ascii="Times New Roman" w:hAnsi="Times New Roman" w:eastAsia="宋体" w:cs="Times New Roman"/>
          <w:b/>
          <w:bCs/>
          <w:spacing w:val="-1"/>
          <w:sz w:val="28"/>
          <w:szCs w:val="28"/>
        </w:rPr>
        <w:t xml:space="preserve"> </w:t>
      </w:r>
      <w:r>
        <w:rPr>
          <w:rFonts w:ascii="Times New Roman" w:hAnsi="Times New Roman" w:eastAsia="Times New Roman" w:cs="Times New Roman"/>
          <w:b/>
          <w:bCs/>
          <w:spacing w:val="-1"/>
          <w:sz w:val="28"/>
          <w:szCs w:val="28"/>
        </w:rPr>
        <w:t>Peifangkeli</w:t>
      </w:r>
    </w:p>
    <w:p w14:paraId="65C46B2F">
      <w:pPr>
        <w:adjustRightInd w:val="0"/>
        <w:snapToGrid w:val="0"/>
        <w:spacing w:line="360" w:lineRule="auto"/>
        <w:ind w:firstLine="482" w:firstLineChars="200"/>
        <w:jc w:val="left"/>
        <w:rPr>
          <w:rFonts w:ascii="Times New Roman" w:hAnsi="Times New Roman" w:eastAsia="宋体" w:cs="Times New Roman"/>
          <w:sz w:val="24"/>
          <w:szCs w:val="24"/>
        </w:rPr>
      </w:pPr>
      <w:r>
        <w:rPr>
          <w:rFonts w:ascii="Times New Roman" w:hAnsi="Times New Roman" w:eastAsia="宋体" w:cs="Times New Roman"/>
          <w:b/>
          <w:bCs/>
          <w:sz w:val="24"/>
          <w:szCs w:val="24"/>
        </w:rPr>
        <w:t>【来源】</w:t>
      </w:r>
      <w:r>
        <w:rPr>
          <w:rFonts w:hint="eastAsia" w:ascii="Times New Roman" w:hAnsi="Times New Roman" w:eastAsia="宋体" w:cs="Times New Roman"/>
          <w:b/>
          <w:bCs/>
          <w:sz w:val="24"/>
          <w:szCs w:val="24"/>
          <w:lang w:val="en-US" w:eastAsia="zh-CN"/>
        </w:rPr>
        <w:t xml:space="preserve"> </w:t>
      </w:r>
      <w:r>
        <w:rPr>
          <w:rFonts w:ascii="Times New Roman" w:hAnsi="Times New Roman" w:eastAsia="宋体" w:cs="Times New Roman"/>
          <w:sz w:val="24"/>
          <w:szCs w:val="24"/>
        </w:rPr>
        <w:t xml:space="preserve"> 本品为芸香科植物花椒</w:t>
      </w:r>
      <w:r>
        <w:rPr>
          <w:rFonts w:ascii="Times New Roman" w:hAnsi="Times New Roman" w:eastAsia="宋体" w:cs="Times New Roman"/>
          <w:i/>
          <w:iCs/>
          <w:sz w:val="24"/>
          <w:szCs w:val="24"/>
        </w:rPr>
        <w:t>Zanthoxylum bungeanum</w:t>
      </w:r>
      <w:r>
        <w:rPr>
          <w:rFonts w:ascii="Times New Roman" w:hAnsi="Times New Roman" w:eastAsia="宋体" w:cs="Times New Roman"/>
          <w:sz w:val="24"/>
          <w:szCs w:val="24"/>
        </w:rPr>
        <w:t xml:space="preserve"> Maxim.的干燥成熟果皮经炮制并按标准汤剂的主要质量指标加工制成的配方颗粒。</w:t>
      </w:r>
    </w:p>
    <w:p w14:paraId="5ECC3946">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bCs/>
          <w:sz w:val="24"/>
          <w:szCs w:val="24"/>
        </w:rPr>
        <w:t>【制法】</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取花椒（花椒）饮片3500g，加水煎煮，收集挥发油适量（以β-环糊精包合，备用），滤过，滤液浓缩成清膏（出膏率为15~25%），加入挥发油包合物，加入辅料适量，干燥（或干燥，粉碎），再加入辅料适量，混匀，制粒，制成1000g，即得。</w:t>
      </w:r>
    </w:p>
    <w:p w14:paraId="655B290F">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bCs/>
          <w:sz w:val="24"/>
          <w:szCs w:val="24"/>
        </w:rPr>
        <w:t>【性状】</w:t>
      </w:r>
      <w:r>
        <w:rPr>
          <w:rFonts w:hint="eastAsia" w:ascii="Times New Roman" w:hAnsi="Times New Roman" w:eastAsia="宋体" w:cs="Times New Roman"/>
          <w:b/>
          <w:bCs/>
          <w:sz w:val="24"/>
          <w:szCs w:val="24"/>
          <w:lang w:val="en-US" w:eastAsia="zh-CN"/>
        </w:rPr>
        <w:t xml:space="preserve"> </w:t>
      </w:r>
      <w:r>
        <w:rPr>
          <w:rFonts w:ascii="Times New Roman" w:hAnsi="Times New Roman" w:eastAsia="宋体" w:cs="Times New Roman"/>
          <w:sz w:val="24"/>
          <w:szCs w:val="24"/>
        </w:rPr>
        <w:t xml:space="preserve"> 本品为浅黄色至浅黄棕色的颗粒；气微香，味辛辣、麻舌。</w:t>
      </w:r>
    </w:p>
    <w:p w14:paraId="67A9F4AE">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bCs/>
          <w:sz w:val="24"/>
          <w:szCs w:val="24"/>
        </w:rPr>
        <w:t>【鉴别】</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取本品2g，加水20ml使溶解，用乙醚振摇提取2次，每次20ml，合并取乙醚液，挥干，残渣加乙醚1ml使溶解，作为供试品溶液。另取花椒（花椒）对照药材2g，加水50ml，煮沸30分钟，滤过，滤液浓缩至20ml，自“用乙醚分2次振摇提取”起同法制成对照药材溶液。照薄层色谱法（中国药典 通则0502）试验，吸取上述两种溶液各5μl，分别点于同一硅胶G薄层板上，以正己烷-乙酸乙酯（4</w:t>
      </w:r>
      <w:r>
        <w:rPr>
          <w:rFonts w:hint="eastAsia" w:ascii="宋体" w:hAnsi="宋体" w:eastAsia="宋体" w:cs="宋体"/>
          <w:sz w:val="24"/>
          <w:szCs w:val="24"/>
        </w:rPr>
        <w:t>∶</w:t>
      </w:r>
      <w:r>
        <w:rPr>
          <w:rFonts w:ascii="Times New Roman" w:hAnsi="Times New Roman" w:eastAsia="宋体" w:cs="Times New Roman"/>
          <w:sz w:val="24"/>
          <w:szCs w:val="24"/>
        </w:rPr>
        <w:t>2）为展开剂，展开，取出，晾干，喷以10%硫酸乙醇溶液，在105℃加热3分钟，置紫外光灯（365nm）下检视。供试品色谱中，在与对照药材色谱相应的位置上，显相同颜色的荧光斑点。</w:t>
      </w:r>
    </w:p>
    <w:p w14:paraId="03108C8B">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bCs/>
          <w:sz w:val="24"/>
          <w:szCs w:val="24"/>
        </w:rPr>
        <w:t>【特征图谱】</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照高效液相色谱法（中国药典 通则0512）测定。</w:t>
      </w:r>
    </w:p>
    <w:p w14:paraId="66E14730">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 xml:space="preserve">色谱条件与系统适用性试验  </w:t>
      </w:r>
      <w:r>
        <w:rPr>
          <w:rFonts w:ascii="Times New Roman" w:hAnsi="Times New Roman" w:eastAsia="宋体" w:cs="Times New Roman"/>
          <w:sz w:val="24"/>
          <w:szCs w:val="24"/>
        </w:rPr>
        <w:t>以十八烷基硅烷键合硅胶为填充剂；以甲醇-乙腈（1</w:t>
      </w:r>
      <w:r>
        <w:rPr>
          <w:rFonts w:hint="eastAsia" w:ascii="宋体" w:hAnsi="宋体" w:eastAsia="宋体" w:cs="宋体"/>
          <w:sz w:val="24"/>
          <w:szCs w:val="24"/>
        </w:rPr>
        <w:t>∶</w:t>
      </w:r>
      <w:r>
        <w:rPr>
          <w:rFonts w:ascii="Times New Roman" w:hAnsi="Times New Roman" w:eastAsia="宋体" w:cs="Times New Roman"/>
          <w:sz w:val="24"/>
          <w:szCs w:val="24"/>
        </w:rPr>
        <w:t>1）为流动相A，以水为流动相B，按下表梯度洗脱；流速为0.30ml/</w:t>
      </w:r>
      <w:r>
        <w:rPr>
          <w:rFonts w:hint="eastAsia" w:ascii="Times New Roman" w:hAnsi="Times New Roman" w:eastAsia="宋体" w:cs="Times New Roman"/>
          <w:sz w:val="24"/>
          <w:szCs w:val="24"/>
        </w:rPr>
        <w:t>min</w:t>
      </w:r>
      <w:r>
        <w:rPr>
          <w:rFonts w:ascii="Times New Roman" w:hAnsi="Times New Roman" w:eastAsia="宋体" w:cs="Times New Roman"/>
          <w:sz w:val="24"/>
          <w:szCs w:val="24"/>
        </w:rPr>
        <w:t>；柱温为30℃；检测波长为270nm。理论板数按羟基-β-山椒素峰计应不低于5000。</w:t>
      </w:r>
    </w:p>
    <w:tbl>
      <w:tblPr>
        <w:tblStyle w:val="9"/>
        <w:tblW w:w="5000" w:type="pct"/>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2577"/>
        <w:gridCol w:w="2963"/>
        <w:gridCol w:w="2766"/>
      </w:tblGrid>
      <w:tr w14:paraId="09E2100F">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22" w:hRule="exact"/>
          <w:jc w:val="center"/>
        </w:trPr>
        <w:tc>
          <w:tcPr>
            <w:tcW w:w="1551" w:type="pct"/>
            <w:tcBorders>
              <w:top w:val="single" w:color="000000" w:sz="12" w:space="0"/>
              <w:bottom w:val="single" w:color="000000" w:sz="8" w:space="0"/>
            </w:tcBorders>
          </w:tcPr>
          <w:p w14:paraId="2FA443CE">
            <w:pPr>
              <w:ind w:left="180" w:right="-20"/>
              <w:jc w:val="center"/>
              <w:rPr>
                <w:rFonts w:ascii="Times New Roman" w:hAnsi="Times New Roman" w:eastAsia="宋体" w:cs="Times New Roman"/>
                <w:sz w:val="24"/>
                <w:szCs w:val="24"/>
              </w:rPr>
            </w:pPr>
            <w:r>
              <w:rPr>
                <w:rFonts w:ascii="Times New Roman" w:hAnsi="Times New Roman" w:eastAsia="宋体" w:cs="Times New Roman"/>
                <w:sz w:val="24"/>
                <w:szCs w:val="24"/>
              </w:rPr>
              <w:t>时间</w:t>
            </w:r>
            <w:r>
              <w:rPr>
                <w:rFonts w:ascii="Times New Roman" w:hAnsi="Times New Roman" w:eastAsia="宋体" w:cs="Times New Roman"/>
                <w:spacing w:val="-2"/>
                <w:sz w:val="24"/>
                <w:szCs w:val="24"/>
              </w:rPr>
              <w:t>（</w:t>
            </w:r>
            <w:r>
              <w:rPr>
                <w:rFonts w:ascii="Times New Roman" w:hAnsi="Times New Roman" w:eastAsia="宋体" w:cs="Times New Roman"/>
                <w:sz w:val="24"/>
                <w:szCs w:val="24"/>
              </w:rPr>
              <w:t>分</w:t>
            </w:r>
            <w:r>
              <w:rPr>
                <w:rFonts w:ascii="Times New Roman" w:hAnsi="Times New Roman" w:eastAsia="宋体" w:cs="Times New Roman"/>
                <w:spacing w:val="-2"/>
                <w:sz w:val="24"/>
                <w:szCs w:val="24"/>
              </w:rPr>
              <w:t>钟</w:t>
            </w:r>
            <w:r>
              <w:rPr>
                <w:rFonts w:ascii="Times New Roman" w:hAnsi="Times New Roman" w:eastAsia="宋体" w:cs="Times New Roman"/>
                <w:sz w:val="24"/>
                <w:szCs w:val="24"/>
              </w:rPr>
              <w:t>）</w:t>
            </w:r>
          </w:p>
        </w:tc>
        <w:tc>
          <w:tcPr>
            <w:tcW w:w="1783" w:type="pct"/>
            <w:tcBorders>
              <w:top w:val="single" w:color="000000" w:sz="12" w:space="0"/>
              <w:bottom w:val="single" w:color="000000" w:sz="8" w:space="0"/>
            </w:tcBorders>
          </w:tcPr>
          <w:p w14:paraId="409EF97F">
            <w:pPr>
              <w:ind w:left="294" w:right="-20"/>
              <w:jc w:val="center"/>
              <w:rPr>
                <w:rFonts w:ascii="Times New Roman" w:hAnsi="Times New Roman" w:eastAsia="宋体" w:cs="Times New Roman"/>
                <w:sz w:val="24"/>
                <w:szCs w:val="24"/>
              </w:rPr>
            </w:pPr>
            <w:r>
              <w:rPr>
                <w:rFonts w:ascii="Times New Roman" w:hAnsi="Times New Roman" w:eastAsia="宋体" w:cs="Times New Roman"/>
                <w:sz w:val="24"/>
                <w:szCs w:val="24"/>
              </w:rPr>
              <w:t>流</w:t>
            </w:r>
            <w:r>
              <w:rPr>
                <w:rFonts w:ascii="Times New Roman" w:hAnsi="Times New Roman" w:eastAsia="宋体" w:cs="Times New Roman"/>
                <w:spacing w:val="-2"/>
                <w:sz w:val="24"/>
                <w:szCs w:val="24"/>
              </w:rPr>
              <w:t>动</w:t>
            </w:r>
            <w:r>
              <w:rPr>
                <w:rFonts w:ascii="Times New Roman" w:hAnsi="Times New Roman" w:eastAsia="宋体" w:cs="Times New Roman"/>
                <w:sz w:val="24"/>
                <w:szCs w:val="24"/>
              </w:rPr>
              <w:t>相</w:t>
            </w:r>
            <w:r>
              <w:rPr>
                <w:rFonts w:ascii="Times New Roman" w:hAnsi="Times New Roman" w:eastAsia="宋体" w:cs="Times New Roman"/>
                <w:spacing w:val="-1"/>
                <w:sz w:val="24"/>
                <w:szCs w:val="24"/>
              </w:rPr>
              <w:t>A</w:t>
            </w:r>
            <w:r>
              <w:rPr>
                <w:rFonts w:ascii="Times New Roman" w:hAnsi="Times New Roman" w:eastAsia="宋体" w:cs="Times New Roman"/>
                <w:sz w:val="24"/>
                <w:szCs w:val="24"/>
              </w:rPr>
              <w:t>（</w:t>
            </w:r>
            <w:r>
              <w:rPr>
                <w:rFonts w:ascii="Times New Roman" w:hAnsi="Times New Roman" w:eastAsia="宋体" w:cs="Times New Roman"/>
                <w:spacing w:val="-3"/>
                <w:sz w:val="24"/>
                <w:szCs w:val="24"/>
              </w:rPr>
              <w:t>%</w:t>
            </w:r>
            <w:r>
              <w:rPr>
                <w:rFonts w:ascii="Times New Roman" w:hAnsi="Times New Roman" w:eastAsia="宋体" w:cs="Times New Roman"/>
                <w:sz w:val="24"/>
                <w:szCs w:val="24"/>
              </w:rPr>
              <w:t>）</w:t>
            </w:r>
          </w:p>
        </w:tc>
        <w:tc>
          <w:tcPr>
            <w:tcW w:w="1664" w:type="pct"/>
            <w:tcBorders>
              <w:top w:val="single" w:color="000000" w:sz="12" w:space="0"/>
              <w:bottom w:val="single" w:color="000000" w:sz="8" w:space="0"/>
            </w:tcBorders>
          </w:tcPr>
          <w:p w14:paraId="1110069A">
            <w:pPr>
              <w:ind w:left="254" w:right="-20"/>
              <w:jc w:val="center"/>
              <w:rPr>
                <w:rFonts w:ascii="Times New Roman" w:hAnsi="Times New Roman" w:eastAsia="宋体" w:cs="Times New Roman"/>
                <w:sz w:val="24"/>
                <w:szCs w:val="24"/>
              </w:rPr>
            </w:pPr>
            <w:r>
              <w:rPr>
                <w:rFonts w:ascii="Times New Roman" w:hAnsi="Times New Roman" w:eastAsia="宋体" w:cs="Times New Roman"/>
                <w:sz w:val="24"/>
                <w:szCs w:val="24"/>
              </w:rPr>
              <w:t>流</w:t>
            </w:r>
            <w:r>
              <w:rPr>
                <w:rFonts w:ascii="Times New Roman" w:hAnsi="Times New Roman" w:eastAsia="宋体" w:cs="Times New Roman"/>
                <w:spacing w:val="-2"/>
                <w:sz w:val="24"/>
                <w:szCs w:val="24"/>
              </w:rPr>
              <w:t>动</w:t>
            </w:r>
            <w:r>
              <w:rPr>
                <w:rFonts w:ascii="Times New Roman" w:hAnsi="Times New Roman" w:eastAsia="宋体" w:cs="Times New Roman"/>
                <w:sz w:val="24"/>
                <w:szCs w:val="24"/>
              </w:rPr>
              <w:t>相</w:t>
            </w:r>
            <w:r>
              <w:rPr>
                <w:rFonts w:ascii="Times New Roman" w:hAnsi="Times New Roman" w:eastAsia="宋体" w:cs="Times New Roman"/>
                <w:spacing w:val="-2"/>
                <w:sz w:val="24"/>
                <w:szCs w:val="24"/>
              </w:rPr>
              <w:t>B</w:t>
            </w:r>
            <w:r>
              <w:rPr>
                <w:rFonts w:ascii="Times New Roman" w:hAnsi="Times New Roman" w:eastAsia="宋体" w:cs="Times New Roman"/>
                <w:sz w:val="24"/>
                <w:szCs w:val="24"/>
              </w:rPr>
              <w:t>（</w:t>
            </w:r>
            <w:r>
              <w:rPr>
                <w:rFonts w:ascii="Times New Roman" w:hAnsi="Times New Roman" w:eastAsia="宋体" w:cs="Times New Roman"/>
                <w:spacing w:val="-1"/>
                <w:sz w:val="24"/>
                <w:szCs w:val="24"/>
              </w:rPr>
              <w:t>%</w:t>
            </w:r>
            <w:r>
              <w:rPr>
                <w:rFonts w:ascii="Times New Roman" w:hAnsi="Times New Roman" w:eastAsia="宋体" w:cs="Times New Roman"/>
                <w:sz w:val="24"/>
                <w:szCs w:val="24"/>
              </w:rPr>
              <w:t>）</w:t>
            </w:r>
          </w:p>
        </w:tc>
      </w:tr>
      <w:tr w14:paraId="1C1DB2FD">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exact"/>
          <w:jc w:val="center"/>
        </w:trPr>
        <w:tc>
          <w:tcPr>
            <w:tcW w:w="1551" w:type="pct"/>
            <w:tcBorders>
              <w:top w:val="single" w:color="000000" w:sz="8" w:space="0"/>
            </w:tcBorders>
          </w:tcPr>
          <w:p w14:paraId="20142C3E">
            <w:pPr>
              <w:spacing w:before="35"/>
              <w:ind w:left="721" w:right="902"/>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0</w:t>
            </w:r>
          </w:p>
        </w:tc>
        <w:tc>
          <w:tcPr>
            <w:tcW w:w="1783" w:type="pct"/>
            <w:tcBorders>
              <w:top w:val="single" w:color="000000" w:sz="8" w:space="0"/>
            </w:tcBorders>
          </w:tcPr>
          <w:p w14:paraId="5B1CCD3A">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4</w:t>
            </w:r>
            <w:r>
              <w:rPr>
                <w:rFonts w:ascii="Times New Roman" w:hAnsi="Times New Roman" w:eastAsia="等线" w:cs="Times New Roman"/>
                <w:sz w:val="24"/>
                <w:szCs w:val="24"/>
              </w:rPr>
              <w:t>8</w:t>
            </w:r>
          </w:p>
        </w:tc>
        <w:tc>
          <w:tcPr>
            <w:tcW w:w="1664" w:type="pct"/>
            <w:tcBorders>
              <w:top w:val="single" w:color="000000" w:sz="8" w:space="0"/>
            </w:tcBorders>
          </w:tcPr>
          <w:p w14:paraId="63CD3EB0">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5</w:t>
            </w:r>
            <w:r>
              <w:rPr>
                <w:rFonts w:ascii="Times New Roman" w:hAnsi="Times New Roman" w:eastAsia="等线" w:cs="Times New Roman"/>
                <w:sz w:val="24"/>
                <w:szCs w:val="24"/>
              </w:rPr>
              <w:t>2</w:t>
            </w:r>
          </w:p>
        </w:tc>
      </w:tr>
      <w:tr w14:paraId="5B0C2B2F">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exact"/>
          <w:jc w:val="center"/>
        </w:trPr>
        <w:tc>
          <w:tcPr>
            <w:tcW w:w="1551" w:type="pct"/>
          </w:tcPr>
          <w:p w14:paraId="1D808A0C">
            <w:pPr>
              <w:spacing w:before="24"/>
              <w:ind w:left="668" w:right="849"/>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1</w:t>
            </w:r>
            <w:r>
              <w:rPr>
                <w:rFonts w:ascii="Times New Roman" w:hAnsi="Times New Roman" w:eastAsia="等线" w:cs="Times New Roman"/>
                <w:sz w:val="24"/>
                <w:szCs w:val="24"/>
              </w:rPr>
              <w:t>5</w:t>
            </w:r>
          </w:p>
        </w:tc>
        <w:tc>
          <w:tcPr>
            <w:tcW w:w="1783" w:type="pct"/>
          </w:tcPr>
          <w:p w14:paraId="0421C5D5">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4</w:t>
            </w:r>
            <w:r>
              <w:rPr>
                <w:rFonts w:ascii="Times New Roman" w:hAnsi="Times New Roman" w:eastAsia="等线" w:cs="Times New Roman"/>
                <w:sz w:val="24"/>
                <w:szCs w:val="24"/>
              </w:rPr>
              <w:t>8</w:t>
            </w:r>
          </w:p>
        </w:tc>
        <w:tc>
          <w:tcPr>
            <w:tcW w:w="1664" w:type="pct"/>
          </w:tcPr>
          <w:p w14:paraId="02545A4C">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5</w:t>
            </w:r>
            <w:r>
              <w:rPr>
                <w:rFonts w:ascii="Times New Roman" w:hAnsi="Times New Roman" w:eastAsia="等线" w:cs="Times New Roman"/>
                <w:sz w:val="24"/>
                <w:szCs w:val="24"/>
              </w:rPr>
              <w:t>2</w:t>
            </w:r>
          </w:p>
        </w:tc>
      </w:tr>
      <w:tr w14:paraId="57BC525C">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exact"/>
          <w:jc w:val="center"/>
        </w:trPr>
        <w:tc>
          <w:tcPr>
            <w:tcW w:w="1551" w:type="pct"/>
          </w:tcPr>
          <w:p w14:paraId="549D802C">
            <w:pPr>
              <w:spacing w:before="24"/>
              <w:ind w:left="668" w:right="849"/>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3</w:t>
            </w:r>
            <w:r>
              <w:rPr>
                <w:rFonts w:ascii="Times New Roman" w:hAnsi="Times New Roman" w:eastAsia="等线" w:cs="Times New Roman"/>
                <w:sz w:val="24"/>
                <w:szCs w:val="24"/>
              </w:rPr>
              <w:t>5</w:t>
            </w:r>
          </w:p>
        </w:tc>
        <w:tc>
          <w:tcPr>
            <w:tcW w:w="1783" w:type="pct"/>
          </w:tcPr>
          <w:p w14:paraId="3F46C885">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5</w:t>
            </w:r>
            <w:r>
              <w:rPr>
                <w:rFonts w:ascii="Times New Roman" w:hAnsi="Times New Roman" w:eastAsia="等线" w:cs="Times New Roman"/>
                <w:sz w:val="24"/>
                <w:szCs w:val="24"/>
              </w:rPr>
              <w:t>8</w:t>
            </w:r>
          </w:p>
        </w:tc>
        <w:tc>
          <w:tcPr>
            <w:tcW w:w="1664" w:type="pct"/>
          </w:tcPr>
          <w:p w14:paraId="4C75AC62">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4</w:t>
            </w:r>
            <w:r>
              <w:rPr>
                <w:rFonts w:ascii="Times New Roman" w:hAnsi="Times New Roman" w:eastAsia="等线" w:cs="Times New Roman"/>
                <w:sz w:val="24"/>
                <w:szCs w:val="24"/>
              </w:rPr>
              <w:t>2</w:t>
            </w:r>
          </w:p>
        </w:tc>
      </w:tr>
      <w:tr w14:paraId="5E5EDDFC">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exact"/>
          <w:jc w:val="center"/>
        </w:trPr>
        <w:tc>
          <w:tcPr>
            <w:tcW w:w="1551" w:type="pct"/>
          </w:tcPr>
          <w:p w14:paraId="34DB3C4B">
            <w:pPr>
              <w:spacing w:before="24"/>
              <w:ind w:left="668" w:right="849"/>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3</w:t>
            </w:r>
            <w:r>
              <w:rPr>
                <w:rFonts w:ascii="Times New Roman" w:hAnsi="Times New Roman" w:eastAsia="等线" w:cs="Times New Roman"/>
                <w:sz w:val="24"/>
                <w:szCs w:val="24"/>
              </w:rPr>
              <w:t>5.1</w:t>
            </w:r>
          </w:p>
        </w:tc>
        <w:tc>
          <w:tcPr>
            <w:tcW w:w="1783" w:type="pct"/>
          </w:tcPr>
          <w:p w14:paraId="33697E65">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1</w:t>
            </w:r>
            <w:r>
              <w:rPr>
                <w:rFonts w:ascii="Times New Roman" w:hAnsi="Times New Roman" w:eastAsia="等线" w:cs="Times New Roman"/>
                <w:sz w:val="24"/>
                <w:szCs w:val="24"/>
              </w:rPr>
              <w:t>00</w:t>
            </w:r>
          </w:p>
        </w:tc>
        <w:tc>
          <w:tcPr>
            <w:tcW w:w="1664" w:type="pct"/>
          </w:tcPr>
          <w:p w14:paraId="11B703A6">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0</w:t>
            </w:r>
          </w:p>
        </w:tc>
      </w:tr>
      <w:tr w14:paraId="777F301A">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exact"/>
          <w:jc w:val="center"/>
        </w:trPr>
        <w:tc>
          <w:tcPr>
            <w:tcW w:w="1551" w:type="pct"/>
          </w:tcPr>
          <w:p w14:paraId="496C88D6">
            <w:pPr>
              <w:spacing w:before="24"/>
              <w:ind w:left="668" w:right="849"/>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4</w:t>
            </w:r>
            <w:r>
              <w:rPr>
                <w:rFonts w:ascii="Times New Roman" w:hAnsi="Times New Roman" w:eastAsia="等线" w:cs="Times New Roman"/>
                <w:sz w:val="24"/>
                <w:szCs w:val="24"/>
              </w:rPr>
              <w:t>3</w:t>
            </w:r>
          </w:p>
        </w:tc>
        <w:tc>
          <w:tcPr>
            <w:tcW w:w="1783" w:type="pct"/>
          </w:tcPr>
          <w:p w14:paraId="747B1CC0">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1</w:t>
            </w:r>
            <w:r>
              <w:rPr>
                <w:rFonts w:ascii="Times New Roman" w:hAnsi="Times New Roman" w:eastAsia="等线" w:cs="Times New Roman"/>
                <w:sz w:val="24"/>
                <w:szCs w:val="24"/>
              </w:rPr>
              <w:t>00</w:t>
            </w:r>
          </w:p>
        </w:tc>
        <w:tc>
          <w:tcPr>
            <w:tcW w:w="1664" w:type="pct"/>
          </w:tcPr>
          <w:p w14:paraId="705E5ACE">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0</w:t>
            </w:r>
          </w:p>
        </w:tc>
      </w:tr>
    </w:tbl>
    <w:p w14:paraId="31677972">
      <w:pPr>
        <w:adjustRightInd w:val="0"/>
        <w:snapToGrid w:val="0"/>
        <w:spacing w:line="360" w:lineRule="auto"/>
        <w:ind w:right="-20" w:firstLine="470" w:firstLineChars="192"/>
        <w:rPr>
          <w:rFonts w:ascii="Times New Roman" w:hAnsi="Times New Roman" w:eastAsia="宋体" w:cs="Times New Roman"/>
          <w:spacing w:val="-2"/>
          <w:position w:val="-1"/>
          <w:sz w:val="24"/>
          <w:szCs w:val="24"/>
        </w:rPr>
      </w:pPr>
      <w:r>
        <w:rPr>
          <w:rFonts w:ascii="Times New Roman" w:hAnsi="Times New Roman" w:eastAsia="宋体" w:cs="Times New Roman"/>
          <w:b/>
          <w:spacing w:val="2"/>
          <w:position w:val="-1"/>
          <w:sz w:val="24"/>
          <w:szCs w:val="24"/>
        </w:rPr>
        <w:t>参</w:t>
      </w:r>
      <w:r>
        <w:rPr>
          <w:rFonts w:ascii="Times New Roman" w:hAnsi="Times New Roman" w:eastAsia="宋体" w:cs="Times New Roman"/>
          <w:b/>
          <w:position w:val="-1"/>
          <w:sz w:val="24"/>
          <w:szCs w:val="24"/>
        </w:rPr>
        <w:t>照</w:t>
      </w:r>
      <w:r>
        <w:rPr>
          <w:rFonts w:ascii="Times New Roman" w:hAnsi="Times New Roman" w:eastAsia="宋体" w:cs="Times New Roman"/>
          <w:b/>
          <w:spacing w:val="2"/>
          <w:position w:val="-1"/>
          <w:sz w:val="24"/>
          <w:szCs w:val="24"/>
        </w:rPr>
        <w:t>物</w:t>
      </w:r>
      <w:r>
        <w:rPr>
          <w:rFonts w:ascii="Times New Roman" w:hAnsi="Times New Roman" w:eastAsia="宋体" w:cs="Times New Roman"/>
          <w:b/>
          <w:position w:val="-1"/>
          <w:sz w:val="24"/>
          <w:szCs w:val="24"/>
        </w:rPr>
        <w:t>溶液</w:t>
      </w:r>
      <w:r>
        <w:rPr>
          <w:rFonts w:ascii="Times New Roman" w:hAnsi="Times New Roman" w:eastAsia="宋体" w:cs="Times New Roman"/>
          <w:b/>
          <w:spacing w:val="2"/>
          <w:position w:val="-1"/>
          <w:sz w:val="24"/>
          <w:szCs w:val="24"/>
        </w:rPr>
        <w:t>的</w:t>
      </w:r>
      <w:r>
        <w:rPr>
          <w:rFonts w:ascii="Times New Roman" w:hAnsi="Times New Roman" w:eastAsia="宋体" w:cs="Times New Roman"/>
          <w:b/>
          <w:position w:val="-1"/>
          <w:sz w:val="24"/>
          <w:szCs w:val="24"/>
        </w:rPr>
        <w:t xml:space="preserve">制备  </w:t>
      </w:r>
      <w:r>
        <w:rPr>
          <w:rFonts w:ascii="Times New Roman" w:hAnsi="Times New Roman" w:eastAsia="宋体" w:cs="Times New Roman"/>
          <w:spacing w:val="-2"/>
          <w:position w:val="-1"/>
          <w:sz w:val="24"/>
          <w:szCs w:val="24"/>
        </w:rPr>
        <w:t>取花椒（花椒）对照药材0.5g，置具塞锥形瓶中，加水20ml，煮沸30分钟，离心，取上清液，蒸干，残渣加甲醇使溶解，转移至20ml量瓶中，超声处理（功率300W，频率40kHz）30分钟，放冷，加甲醇至刻度，摇匀，滤过，取续滤液，作为对照药材参照物溶液。另取羟基-α-山椒素对照品、羟基</w:t>
      </w:r>
      <w:r>
        <w:rPr>
          <w:rFonts w:ascii="Times New Roman" w:hAnsi="Times New Roman" w:eastAsia="宋体" w:cs="Times New Roman"/>
          <w:b/>
          <w:spacing w:val="-2"/>
          <w:position w:val="-1"/>
          <w:sz w:val="24"/>
          <w:szCs w:val="24"/>
        </w:rPr>
        <w:t>-</w:t>
      </w:r>
      <w:r>
        <w:rPr>
          <w:rFonts w:ascii="Times New Roman" w:hAnsi="Times New Roman" w:eastAsia="宋体" w:cs="Times New Roman"/>
          <w:bCs/>
          <w:spacing w:val="-2"/>
          <w:position w:val="-1"/>
          <w:sz w:val="24"/>
          <w:szCs w:val="24"/>
        </w:rPr>
        <w:t>β</w:t>
      </w:r>
      <w:r>
        <w:rPr>
          <w:rFonts w:ascii="Times New Roman" w:hAnsi="Times New Roman" w:eastAsia="宋体" w:cs="Times New Roman"/>
          <w:b/>
          <w:spacing w:val="-2"/>
          <w:position w:val="-1"/>
          <w:sz w:val="24"/>
          <w:szCs w:val="24"/>
        </w:rPr>
        <w:t>-</w:t>
      </w:r>
      <w:r>
        <w:rPr>
          <w:rFonts w:ascii="Times New Roman" w:hAnsi="Times New Roman" w:eastAsia="宋体" w:cs="Times New Roman"/>
          <w:spacing w:val="-2"/>
          <w:position w:val="-1"/>
          <w:sz w:val="24"/>
          <w:szCs w:val="24"/>
        </w:rPr>
        <w:t>山椒素对照品适量，精密称定，加甲醇制成每1ml各含20μg的混合溶液，作为对照品参照物溶液。</w:t>
      </w:r>
    </w:p>
    <w:p w14:paraId="1BB4AB80">
      <w:pPr>
        <w:adjustRightInd w:val="0"/>
        <w:snapToGrid w:val="0"/>
        <w:spacing w:before="13" w:line="360" w:lineRule="auto"/>
        <w:ind w:right="54" w:firstLine="490" w:firstLineChars="200"/>
        <w:rPr>
          <w:rFonts w:ascii="Times New Roman" w:hAnsi="Times New Roman" w:eastAsia="宋体" w:cs="Times New Roman"/>
          <w:sz w:val="24"/>
          <w:szCs w:val="24"/>
        </w:rPr>
      </w:pPr>
      <w:r>
        <w:rPr>
          <w:rFonts w:ascii="Times New Roman" w:hAnsi="Times New Roman" w:eastAsia="宋体" w:cs="Times New Roman"/>
          <w:b/>
          <w:spacing w:val="2"/>
          <w:sz w:val="24"/>
          <w:szCs w:val="24"/>
        </w:rPr>
        <w:t>供</w:t>
      </w:r>
      <w:r>
        <w:rPr>
          <w:rFonts w:ascii="Times New Roman" w:hAnsi="Times New Roman" w:eastAsia="宋体" w:cs="Times New Roman"/>
          <w:b/>
          <w:sz w:val="24"/>
          <w:szCs w:val="24"/>
        </w:rPr>
        <w:t>试</w:t>
      </w:r>
      <w:r>
        <w:rPr>
          <w:rFonts w:ascii="Times New Roman" w:hAnsi="Times New Roman" w:eastAsia="宋体" w:cs="Times New Roman"/>
          <w:b/>
          <w:spacing w:val="2"/>
          <w:sz w:val="24"/>
          <w:szCs w:val="24"/>
        </w:rPr>
        <w:t>品</w:t>
      </w:r>
      <w:r>
        <w:rPr>
          <w:rFonts w:ascii="Times New Roman" w:hAnsi="Times New Roman" w:eastAsia="宋体" w:cs="Times New Roman"/>
          <w:b/>
          <w:sz w:val="24"/>
          <w:szCs w:val="24"/>
        </w:rPr>
        <w:t>溶液</w:t>
      </w:r>
      <w:r>
        <w:rPr>
          <w:rFonts w:ascii="Times New Roman" w:hAnsi="Times New Roman" w:eastAsia="宋体" w:cs="Times New Roman"/>
          <w:b/>
          <w:spacing w:val="2"/>
          <w:sz w:val="24"/>
          <w:szCs w:val="24"/>
        </w:rPr>
        <w:t>的</w:t>
      </w:r>
      <w:r>
        <w:rPr>
          <w:rFonts w:ascii="Times New Roman" w:hAnsi="Times New Roman" w:eastAsia="宋体" w:cs="Times New Roman"/>
          <w:b/>
          <w:sz w:val="24"/>
          <w:szCs w:val="24"/>
        </w:rPr>
        <w:t xml:space="preserve">制备  </w:t>
      </w:r>
      <w:r>
        <w:rPr>
          <w:rFonts w:ascii="Times New Roman" w:hAnsi="Times New Roman" w:eastAsia="宋体" w:cs="Times New Roman"/>
          <w:sz w:val="24"/>
          <w:szCs w:val="24"/>
        </w:rPr>
        <w:t>取本品适量，研细，取约0.1g，置具塞锥形瓶中，加甲醇20ml，超声处理（功率300W，频率40kHz）30分钟，摇匀，滤过，取续滤液，作为供试品溶液。</w:t>
      </w:r>
    </w:p>
    <w:p w14:paraId="54C05AAD">
      <w:pPr>
        <w:adjustRightInd w:val="0"/>
        <w:snapToGrid w:val="0"/>
        <w:spacing w:before="13" w:line="360" w:lineRule="auto"/>
        <w:ind w:right="57" w:firstLine="490" w:firstLineChars="200"/>
        <w:rPr>
          <w:rFonts w:ascii="Times New Roman" w:hAnsi="Times New Roman" w:eastAsia="宋体" w:cs="Times New Roman"/>
          <w:sz w:val="24"/>
          <w:szCs w:val="24"/>
        </w:rPr>
      </w:pPr>
      <w:r>
        <w:rPr>
          <w:rFonts w:ascii="Times New Roman" w:hAnsi="Times New Roman" w:eastAsia="宋体" w:cs="Times New Roman"/>
          <w:b/>
          <w:spacing w:val="2"/>
          <w:sz w:val="24"/>
          <w:szCs w:val="24"/>
        </w:rPr>
        <w:t>测</w:t>
      </w:r>
      <w:r>
        <w:rPr>
          <w:rFonts w:ascii="Times New Roman" w:hAnsi="Times New Roman" w:eastAsia="宋体" w:cs="Times New Roman"/>
          <w:b/>
          <w:sz w:val="24"/>
          <w:szCs w:val="24"/>
        </w:rPr>
        <w:t xml:space="preserve">定法  </w:t>
      </w:r>
      <w:r>
        <w:rPr>
          <w:rFonts w:ascii="Times New Roman" w:hAnsi="Times New Roman" w:eastAsia="宋体" w:cs="Times New Roman"/>
          <w:sz w:val="24"/>
          <w:szCs w:val="24"/>
        </w:rPr>
        <w:t>分别精密吸取参照物溶液和供试品溶液各1μl，注入液相色谱仪，测定，即得。</w:t>
      </w:r>
    </w:p>
    <w:p w14:paraId="162F430A">
      <w:pPr>
        <w:adjustRightInd w:val="0"/>
        <w:snapToGrid w:val="0"/>
        <w:spacing w:before="13" w:line="360" w:lineRule="auto"/>
        <w:ind w:right="57"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供试品色谱中应呈现与对照药材参照物色谱</w:t>
      </w:r>
      <w:r>
        <w:rPr>
          <w:rFonts w:hint="eastAsia" w:ascii="Times New Roman" w:hAnsi="Times New Roman" w:eastAsia="宋体" w:cs="Times New Roman"/>
          <w:sz w:val="24"/>
          <w:szCs w:val="24"/>
        </w:rPr>
        <w:t>图</w:t>
      </w:r>
      <w:r>
        <w:rPr>
          <w:rFonts w:ascii="Times New Roman" w:hAnsi="Times New Roman" w:eastAsia="宋体" w:cs="Times New Roman"/>
          <w:sz w:val="24"/>
          <w:szCs w:val="24"/>
        </w:rPr>
        <w:t>中3个保留时间相对应</w:t>
      </w:r>
      <w:r>
        <w:rPr>
          <w:rFonts w:hint="eastAsia" w:ascii="Times New Roman" w:hAnsi="Times New Roman" w:eastAsia="宋体" w:cs="Times New Roman"/>
          <w:sz w:val="24"/>
          <w:szCs w:val="24"/>
        </w:rPr>
        <w:t>的</w:t>
      </w:r>
      <w:r>
        <w:rPr>
          <w:rFonts w:ascii="Times New Roman" w:hAnsi="Times New Roman" w:eastAsia="宋体" w:cs="Times New Roman"/>
          <w:sz w:val="24"/>
          <w:szCs w:val="24"/>
        </w:rPr>
        <w:t>特征峰，其中峰2</w:t>
      </w:r>
      <w:r>
        <w:rPr>
          <w:rFonts w:hint="eastAsia" w:ascii="Times New Roman" w:hAnsi="Times New Roman" w:eastAsia="宋体" w:cs="Times New Roman"/>
          <w:sz w:val="24"/>
          <w:szCs w:val="24"/>
        </w:rPr>
        <w:t>~</w:t>
      </w:r>
      <w:r>
        <w:rPr>
          <w:rFonts w:ascii="Times New Roman" w:hAnsi="Times New Roman" w:eastAsia="宋体" w:cs="Times New Roman"/>
          <w:sz w:val="24"/>
          <w:szCs w:val="24"/>
        </w:rPr>
        <w:t>3应分别与相应对照品参照物峰保留时间相对应</w:t>
      </w:r>
      <w:r>
        <w:rPr>
          <w:rFonts w:hint="eastAsia" w:ascii="Times New Roman" w:hAnsi="Times New Roman" w:eastAsia="宋体" w:cs="Times New Roman"/>
          <w:sz w:val="24"/>
          <w:szCs w:val="24"/>
        </w:rPr>
        <w:t>。</w:t>
      </w:r>
      <w:r>
        <w:rPr>
          <w:rFonts w:ascii="Times New Roman" w:hAnsi="Times New Roman" w:eastAsia="宋体" w:cs="Times New Roman"/>
          <w:sz w:val="24"/>
          <w:szCs w:val="24"/>
        </w:rPr>
        <w:t>峰1与S峰</w:t>
      </w:r>
      <w:r>
        <w:rPr>
          <w:rFonts w:hint="eastAsia" w:ascii="Times New Roman" w:hAnsi="Times New Roman" w:eastAsia="宋体" w:cs="Times New Roman"/>
          <w:sz w:val="24"/>
          <w:szCs w:val="24"/>
        </w:rPr>
        <w:t>（峰3）</w:t>
      </w:r>
      <w:r>
        <w:rPr>
          <w:rFonts w:ascii="Times New Roman" w:hAnsi="Times New Roman" w:eastAsia="宋体" w:cs="Times New Roman"/>
          <w:sz w:val="24"/>
          <w:szCs w:val="24"/>
        </w:rPr>
        <w:t>的相对保留时间</w:t>
      </w:r>
      <w:r>
        <w:rPr>
          <w:rFonts w:hint="eastAsia" w:ascii="Times New Roman" w:hAnsi="Times New Roman" w:eastAsia="宋体" w:cs="Times New Roman"/>
          <w:sz w:val="24"/>
          <w:szCs w:val="24"/>
        </w:rPr>
        <w:t>约</w:t>
      </w:r>
      <w:r>
        <w:rPr>
          <w:rFonts w:ascii="Times New Roman" w:hAnsi="Times New Roman" w:eastAsia="宋体" w:cs="Times New Roman"/>
          <w:sz w:val="24"/>
          <w:szCs w:val="24"/>
        </w:rPr>
        <w:t>为：0.83。</w:t>
      </w:r>
      <w:r>
        <w:rPr>
          <w:rFonts w:ascii="Times New Roman" w:hAnsi="Times New Roman" w:eastAsia="宋体" w:cs="Times New Roman"/>
          <w:szCs w:val="24"/>
        </w:rPr>
        <w:drawing>
          <wp:inline distT="0" distB="0" distL="0" distR="0">
            <wp:extent cx="5291455" cy="2125345"/>
            <wp:effectExtent l="0" t="0" r="444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91455" cy="2125345"/>
                    </a:xfrm>
                    <a:prstGeom prst="rect">
                      <a:avLst/>
                    </a:prstGeom>
                    <a:noFill/>
                    <a:ln>
                      <a:noFill/>
                    </a:ln>
                    <a:effectLst/>
                  </pic:spPr>
                </pic:pic>
              </a:graphicData>
            </a:graphic>
          </wp:inline>
        </w:drawing>
      </w:r>
    </w:p>
    <w:p w14:paraId="14DA1C43">
      <w:pPr>
        <w:adjustRightInd w:val="0"/>
        <w:snapToGrid w:val="0"/>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对照</w:t>
      </w:r>
      <w:r>
        <w:rPr>
          <w:rFonts w:ascii="Times New Roman" w:hAnsi="Times New Roman" w:eastAsia="宋体" w:cs="Times New Roman"/>
          <w:spacing w:val="-2"/>
          <w:sz w:val="21"/>
          <w:szCs w:val="21"/>
        </w:rPr>
        <w:t>特</w:t>
      </w:r>
      <w:r>
        <w:rPr>
          <w:rFonts w:ascii="Times New Roman" w:hAnsi="Times New Roman" w:eastAsia="宋体" w:cs="Times New Roman"/>
          <w:sz w:val="21"/>
          <w:szCs w:val="21"/>
        </w:rPr>
        <w:t>征</w:t>
      </w:r>
      <w:r>
        <w:rPr>
          <w:rFonts w:ascii="Times New Roman" w:hAnsi="Times New Roman" w:eastAsia="宋体" w:cs="Times New Roman"/>
          <w:spacing w:val="-2"/>
          <w:sz w:val="21"/>
          <w:szCs w:val="21"/>
        </w:rPr>
        <w:t>图</w:t>
      </w:r>
      <w:r>
        <w:rPr>
          <w:rFonts w:ascii="Times New Roman" w:hAnsi="Times New Roman" w:eastAsia="宋体" w:cs="Times New Roman"/>
          <w:sz w:val="21"/>
          <w:szCs w:val="21"/>
        </w:rPr>
        <w:t>谱</w:t>
      </w:r>
    </w:p>
    <w:p w14:paraId="47ADAB1B">
      <w:pPr>
        <w:adjustRightInd w:val="0"/>
        <w:snapToGrid w:val="0"/>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峰2：羟基-α-山椒素</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峰3（S）：羟基-β-山椒素</w:t>
      </w:r>
    </w:p>
    <w:p w14:paraId="26513648">
      <w:pPr>
        <w:adjustRightInd w:val="0"/>
        <w:snapToGrid w:val="0"/>
        <w:spacing w:line="240" w:lineRule="auto"/>
        <w:jc w:val="center"/>
        <w:rPr>
          <w:rFonts w:hint="eastAsia" w:ascii="Times New Roman" w:hAnsi="Times New Roman" w:eastAsia="宋体" w:cs="Times New Roman"/>
          <w:sz w:val="21"/>
          <w:szCs w:val="21"/>
          <w:lang w:eastAsia="zh-CN"/>
        </w:rPr>
      </w:pPr>
      <w:r>
        <w:rPr>
          <w:rFonts w:ascii="Times New Roman" w:hAnsi="Times New Roman" w:eastAsia="宋体" w:cs="Times New Roman"/>
          <w:sz w:val="21"/>
          <w:szCs w:val="21"/>
        </w:rPr>
        <w:t>色谱柱：HSS T3</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2.1mm×100mm，1.8μm</w:t>
      </w:r>
      <w:r>
        <w:rPr>
          <w:rFonts w:hint="eastAsia" w:ascii="Times New Roman" w:hAnsi="Times New Roman" w:eastAsia="宋体" w:cs="Times New Roman"/>
          <w:sz w:val="21"/>
          <w:szCs w:val="21"/>
          <w:lang w:eastAsia="zh-CN"/>
        </w:rPr>
        <w:t>）</w:t>
      </w:r>
    </w:p>
    <w:p w14:paraId="73FBA7C0">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2" w:firstLineChars="200"/>
        <w:textAlignment w:val="auto"/>
        <w:rPr>
          <w:rFonts w:ascii="Times New Roman" w:hAnsi="Times New Roman" w:eastAsia="宋体" w:cs="Times New Roman"/>
          <w:b/>
          <w:bCs/>
          <w:sz w:val="24"/>
          <w:szCs w:val="24"/>
        </w:rPr>
      </w:pPr>
      <w:r>
        <w:rPr>
          <w:rFonts w:ascii="Times New Roman" w:hAnsi="Times New Roman" w:eastAsia="宋体" w:cs="Times New Roman"/>
          <w:b/>
          <w:bCs/>
          <w:sz w:val="24"/>
          <w:szCs w:val="24"/>
        </w:rPr>
        <w:t>【检查】</w:t>
      </w:r>
      <w:r>
        <w:rPr>
          <w:rFonts w:hint="eastAsia" w:ascii="Times New Roman" w:hAnsi="Times New Roman" w:eastAsia="宋体" w:cs="Times New Roman"/>
          <w:b/>
          <w:bCs/>
          <w:sz w:val="24"/>
          <w:szCs w:val="24"/>
          <w:lang w:val="en-US" w:eastAsia="zh-CN"/>
        </w:rPr>
        <w:t xml:space="preserve"> </w:t>
      </w:r>
      <w:r>
        <w:rPr>
          <w:rFonts w:ascii="Times New Roman" w:hAnsi="Times New Roman" w:eastAsia="宋体" w:cs="Times New Roman"/>
          <w:sz w:val="24"/>
          <w:szCs w:val="24"/>
        </w:rPr>
        <w:t xml:space="preserve"> 应符合颗粒剂（中国药典 通则0104）项下有关的各项规定。</w:t>
      </w:r>
    </w:p>
    <w:p w14:paraId="78DBF858">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bCs/>
          <w:sz w:val="24"/>
          <w:szCs w:val="24"/>
        </w:rPr>
        <w:t>【浸出物】</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取本品适量，研细，取约2g，精密称定，精密加入乙醇100ml，照醇溶性浸出物测定法（中国药典 通则2201）项下的热浸法测定，不得少于26.0%。</w:t>
      </w:r>
    </w:p>
    <w:p w14:paraId="43D6C28A">
      <w:pPr>
        <w:adjustRightInd w:val="0"/>
        <w:snapToGrid w:val="0"/>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bCs/>
          <w:sz w:val="24"/>
          <w:szCs w:val="24"/>
        </w:rPr>
        <w:t>【含量测定】</w:t>
      </w:r>
      <w:r>
        <w:rPr>
          <w:rFonts w:ascii="Times New Roman" w:hAnsi="Times New Roman" w:eastAsia="宋体" w:cs="Times New Roman"/>
          <w:b/>
          <w:sz w:val="24"/>
          <w:szCs w:val="24"/>
        </w:rPr>
        <w:t xml:space="preserve"> 挥发油  </w:t>
      </w:r>
      <w:r>
        <w:rPr>
          <w:rFonts w:ascii="Times New Roman" w:hAnsi="Times New Roman" w:eastAsia="宋体" w:cs="Times New Roman"/>
          <w:bCs/>
          <w:sz w:val="24"/>
          <w:szCs w:val="24"/>
        </w:rPr>
        <w:t>照挥发油测定法（中国药典 通则2204）测定。</w:t>
      </w:r>
    </w:p>
    <w:p w14:paraId="128A372F">
      <w:pPr>
        <w:adjustRightInd w:val="0"/>
        <w:snapToGrid w:val="0"/>
        <w:spacing w:line="360" w:lineRule="auto"/>
        <w:ind w:firstLine="480" w:firstLineChars="200"/>
        <w:rPr>
          <w:rFonts w:ascii="Times New Roman" w:hAnsi="Times New Roman" w:eastAsia="宋体" w:cs="Times New Roman"/>
          <w:b/>
          <w:sz w:val="24"/>
          <w:szCs w:val="24"/>
        </w:rPr>
      </w:pPr>
      <w:r>
        <w:rPr>
          <w:rFonts w:ascii="Times New Roman" w:hAnsi="Times New Roman" w:eastAsia="宋体" w:cs="Times New Roman"/>
          <w:bCs/>
          <w:sz w:val="24"/>
          <w:szCs w:val="24"/>
        </w:rPr>
        <w:t>本品含挥发油应为0.1%~1.0%（ml/g）。</w:t>
      </w:r>
    </w:p>
    <w:p w14:paraId="465B649F">
      <w:pPr>
        <w:adjustRightInd w:val="0"/>
        <w:snapToGrid w:val="0"/>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羟基</w:t>
      </w:r>
      <w:r>
        <w:rPr>
          <w:rFonts w:ascii="Times New Roman" w:hAnsi="Times New Roman" w:eastAsia="宋体" w:cs="Times New Roman"/>
          <w:sz w:val="24"/>
          <w:szCs w:val="24"/>
        </w:rPr>
        <w:t>-</w:t>
      </w:r>
      <w:r>
        <w:rPr>
          <w:rFonts w:ascii="Times New Roman" w:hAnsi="Times New Roman" w:eastAsia="宋体" w:cs="Times New Roman"/>
          <w:b/>
          <w:bCs/>
          <w:sz w:val="24"/>
          <w:szCs w:val="24"/>
        </w:rPr>
        <w:t>α</w:t>
      </w: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山椒素、羟基-β-山椒素  </w:t>
      </w:r>
      <w:r>
        <w:rPr>
          <w:rFonts w:ascii="Times New Roman" w:hAnsi="Times New Roman" w:eastAsia="宋体" w:cs="Times New Roman"/>
          <w:bCs/>
          <w:sz w:val="24"/>
          <w:szCs w:val="24"/>
        </w:rPr>
        <w:t>照高效液相色谱法（中国药典 通则0512）测定。</w:t>
      </w:r>
    </w:p>
    <w:p w14:paraId="6E51C299">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色谱条件与系统适用性试验</w:t>
      </w:r>
      <w:r>
        <w:rPr>
          <w:rFonts w:ascii="Times New Roman" w:hAnsi="Times New Roman" w:eastAsia="宋体" w:cs="Times New Roman"/>
          <w:sz w:val="24"/>
          <w:szCs w:val="24"/>
        </w:rPr>
        <w:t xml:space="preserve">  以十八烷基硅烷键合硅胶为填充剂（柱长为100mm，内径为2.1mm，粒径为1.8μm）；以甲醇-乙腈-水（24</w:t>
      </w:r>
      <w:r>
        <w:rPr>
          <w:rFonts w:hint="eastAsia" w:ascii="宋体" w:hAnsi="宋体" w:eastAsia="宋体" w:cs="宋体"/>
          <w:sz w:val="24"/>
          <w:szCs w:val="24"/>
        </w:rPr>
        <w:t>∶</w:t>
      </w:r>
      <w:r>
        <w:rPr>
          <w:rFonts w:ascii="Times New Roman" w:hAnsi="Times New Roman" w:eastAsia="宋体" w:cs="Times New Roman"/>
          <w:sz w:val="24"/>
          <w:szCs w:val="24"/>
        </w:rPr>
        <w:t>24</w:t>
      </w:r>
      <w:r>
        <w:rPr>
          <w:rFonts w:hint="eastAsia" w:ascii="宋体" w:hAnsi="宋体" w:eastAsia="宋体" w:cs="宋体"/>
          <w:sz w:val="24"/>
          <w:szCs w:val="24"/>
        </w:rPr>
        <w:t>∶</w:t>
      </w:r>
      <w:r>
        <w:rPr>
          <w:rFonts w:ascii="Times New Roman" w:hAnsi="Times New Roman" w:eastAsia="宋体" w:cs="Times New Roman"/>
          <w:sz w:val="24"/>
          <w:szCs w:val="24"/>
        </w:rPr>
        <w:t>52）为流动相；检测波长为270nm。理论板数按羟基-</w:t>
      </w:r>
      <w:r>
        <w:rPr>
          <w:rFonts w:ascii="Times New Roman" w:hAnsi="Times New Roman" w:eastAsia="宋体" w:cs="Times New Roman"/>
          <w:bCs/>
          <w:sz w:val="24"/>
          <w:szCs w:val="24"/>
        </w:rPr>
        <w:t>β</w:t>
      </w:r>
      <w:r>
        <w:rPr>
          <w:rFonts w:ascii="Times New Roman" w:hAnsi="Times New Roman" w:eastAsia="宋体" w:cs="Times New Roman"/>
          <w:sz w:val="24"/>
          <w:szCs w:val="24"/>
        </w:rPr>
        <w:t>-山椒素峰计应不低于5000。</w:t>
      </w:r>
    </w:p>
    <w:p w14:paraId="79D37E82">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 xml:space="preserve">对照品溶液的制备  </w:t>
      </w:r>
      <w:r>
        <w:rPr>
          <w:rFonts w:hint="eastAsia" w:ascii="Times New Roman" w:hAnsi="Times New Roman" w:eastAsia="宋体" w:cs="Times New Roman"/>
          <w:sz w:val="24"/>
          <w:szCs w:val="24"/>
        </w:rPr>
        <w:t>同【特征图谱】项下的对照品参照物溶液</w:t>
      </w:r>
      <w:r>
        <w:rPr>
          <w:rFonts w:ascii="Times New Roman" w:hAnsi="Times New Roman" w:eastAsia="宋体" w:cs="Times New Roman"/>
          <w:sz w:val="24"/>
          <w:szCs w:val="24"/>
        </w:rPr>
        <w:t>。</w:t>
      </w:r>
    </w:p>
    <w:p w14:paraId="4F1ADDD6">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 xml:space="preserve">供试品溶液的制备  </w:t>
      </w:r>
      <w:r>
        <w:rPr>
          <w:rFonts w:ascii="Times New Roman" w:hAnsi="Times New Roman" w:eastAsia="宋体" w:cs="Times New Roman"/>
          <w:sz w:val="24"/>
          <w:szCs w:val="24"/>
        </w:rPr>
        <w:t>取本品适量，研细，取约0.1g，精密称定，置具塞锥形瓶中，精密加甲醇50ml，称定重量，超声处理（功率300W，频率40kHz）30分钟，放冷，再称定重量，用甲醇补足减失的重量，摇匀，滤过，取续滤液，即得。</w:t>
      </w:r>
    </w:p>
    <w:p w14:paraId="103F1B14">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 xml:space="preserve">测定法  </w:t>
      </w:r>
      <w:r>
        <w:rPr>
          <w:rFonts w:ascii="Times New Roman" w:hAnsi="Times New Roman" w:eastAsia="宋体" w:cs="Times New Roman"/>
          <w:sz w:val="24"/>
          <w:szCs w:val="24"/>
        </w:rPr>
        <w:t>分别精密吸取对照品溶液和供试品溶液各1μl，注入液相色谱仪，测定，即得。</w:t>
      </w:r>
    </w:p>
    <w:p w14:paraId="48AC9581">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本品每1g含羟基-α-山椒素（C</w:t>
      </w:r>
      <w:r>
        <w:rPr>
          <w:rFonts w:ascii="Times New Roman" w:hAnsi="Times New Roman" w:eastAsia="宋体" w:cs="Times New Roman"/>
          <w:sz w:val="24"/>
          <w:szCs w:val="24"/>
          <w:vertAlign w:val="subscript"/>
        </w:rPr>
        <w:t>16</w:t>
      </w:r>
      <w:r>
        <w:rPr>
          <w:rFonts w:ascii="Times New Roman" w:hAnsi="Times New Roman" w:eastAsia="宋体" w:cs="Times New Roman"/>
          <w:sz w:val="24"/>
          <w:szCs w:val="24"/>
        </w:rPr>
        <w:t>H</w:t>
      </w:r>
      <w:r>
        <w:rPr>
          <w:rFonts w:ascii="Times New Roman" w:hAnsi="Times New Roman" w:eastAsia="宋体" w:cs="Times New Roman"/>
          <w:sz w:val="24"/>
          <w:szCs w:val="24"/>
          <w:vertAlign w:val="subscript"/>
        </w:rPr>
        <w:t>25</w:t>
      </w:r>
      <w:r>
        <w:rPr>
          <w:rFonts w:ascii="Times New Roman" w:hAnsi="Times New Roman" w:eastAsia="宋体" w:cs="Times New Roman"/>
          <w:sz w:val="24"/>
          <w:szCs w:val="24"/>
        </w:rPr>
        <w:t>NO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）和羟基-</w:t>
      </w:r>
      <w:r>
        <w:rPr>
          <w:rFonts w:ascii="Times New Roman" w:hAnsi="Times New Roman" w:eastAsia="宋体" w:cs="Times New Roman"/>
          <w:bCs/>
          <w:sz w:val="24"/>
          <w:szCs w:val="24"/>
        </w:rPr>
        <w:t>β</w:t>
      </w:r>
      <w:r>
        <w:rPr>
          <w:rFonts w:ascii="Times New Roman" w:hAnsi="Times New Roman" w:eastAsia="宋体" w:cs="Times New Roman"/>
          <w:sz w:val="24"/>
          <w:szCs w:val="24"/>
        </w:rPr>
        <w:t>-山椒素（C</w:t>
      </w:r>
      <w:r>
        <w:rPr>
          <w:rFonts w:ascii="Times New Roman" w:hAnsi="Times New Roman" w:eastAsia="宋体" w:cs="Times New Roman"/>
          <w:sz w:val="24"/>
          <w:szCs w:val="24"/>
          <w:vertAlign w:val="subscript"/>
        </w:rPr>
        <w:t>16</w:t>
      </w:r>
      <w:r>
        <w:rPr>
          <w:rFonts w:ascii="Times New Roman" w:hAnsi="Times New Roman" w:eastAsia="宋体" w:cs="Times New Roman"/>
          <w:sz w:val="24"/>
          <w:szCs w:val="24"/>
        </w:rPr>
        <w:t>H</w:t>
      </w:r>
      <w:r>
        <w:rPr>
          <w:rFonts w:ascii="Times New Roman" w:hAnsi="Times New Roman" w:eastAsia="宋体" w:cs="Times New Roman"/>
          <w:sz w:val="24"/>
          <w:szCs w:val="24"/>
          <w:vertAlign w:val="subscript"/>
        </w:rPr>
        <w:t>25</w:t>
      </w:r>
      <w:r>
        <w:rPr>
          <w:rFonts w:ascii="Times New Roman" w:hAnsi="Times New Roman" w:eastAsia="宋体" w:cs="Times New Roman"/>
          <w:sz w:val="24"/>
          <w:szCs w:val="24"/>
        </w:rPr>
        <w:t>NO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）的总量应为12.0~36.5mg。</w:t>
      </w:r>
    </w:p>
    <w:p w14:paraId="1B1823BE">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bCs/>
          <w:sz w:val="24"/>
          <w:szCs w:val="24"/>
        </w:rPr>
        <w:t>【规格】</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每1g配方颗粒相当于饮片3.5g</w:t>
      </w:r>
    </w:p>
    <w:p w14:paraId="669B40FF">
      <w:pPr>
        <w:ind w:firstLine="482" w:firstLineChars="200"/>
      </w:pPr>
      <w:r>
        <w:rPr>
          <w:rFonts w:ascii="Times New Roman" w:hAnsi="Times New Roman" w:eastAsia="宋体" w:cs="Times New Roman"/>
          <w:b/>
          <w:bCs/>
          <w:sz w:val="24"/>
          <w:szCs w:val="24"/>
        </w:rPr>
        <w:t>【贮藏】</w:t>
      </w:r>
      <w:r>
        <w:rPr>
          <w:rFonts w:hint="eastAsia" w:ascii="Times New Roman" w:hAnsi="Times New Roman" w:eastAsia="宋体" w:cs="Times New Roman"/>
          <w:b/>
          <w:bCs/>
          <w:sz w:val="24"/>
          <w:szCs w:val="24"/>
          <w:lang w:val="en-US" w:eastAsia="zh-CN"/>
        </w:rPr>
        <w:t xml:space="preserve"> </w:t>
      </w:r>
      <w:bookmarkStart w:id="0" w:name="_GoBack"/>
      <w:bookmarkEnd w:id="0"/>
      <w:r>
        <w:rPr>
          <w:rFonts w:ascii="Times New Roman" w:hAnsi="Times New Roman" w:eastAsia="宋体" w:cs="Times New Roman"/>
          <w:sz w:val="24"/>
          <w:szCs w:val="24"/>
        </w:rPr>
        <w:t xml:space="preserve"> 密封。</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2CC6A">
    <w:pPr>
      <w:pBdr>
        <w:bottom w:val="single" w:color="auto" w:sz="6" w:space="1"/>
      </w:pBdr>
      <w:tabs>
        <w:tab w:val="center" w:pos="4153"/>
        <w:tab w:val="right" w:pos="8306"/>
      </w:tabs>
      <w:snapToGrid w:val="0"/>
      <w:jc w:val="center"/>
      <w:rPr>
        <w:rFonts w:ascii="Times New Roman" w:hAnsi="Times New Roman" w:eastAsia="宋体" w:cs="黑体"/>
        <w:sz w:val="18"/>
      </w:rPr>
    </w:pPr>
    <w:r>
      <w:rPr>
        <w:rFonts w:ascii="Times New Roman" w:hAnsi="Times New Roman" w:eastAsia="宋体" w:cs="黑体"/>
        <w:sz w:val="18"/>
      </w:rPr>
      <w:pict>
        <v:shape id="PowerPlusWaterMarkObject65224" o:spid="_x0000_s4097" o:spt="136" type="#_x0000_t136" style="position:absolute;left:0pt;height:39.05pt;width:548.2pt;mso-position-horizontal:center;mso-position-horizontal-relative:margin;mso-position-vertical:center;mso-position-vertical-relative:margin;rotation:-2949120f;z-index:-251657216;mso-width-relative:page;mso-height-relative:page;" fillcolor="#C0C0C0" filled="t" stroked="f" coordsize="21600,21600">
          <v:path/>
          <v:fill on="t" opacity="32768f" focussize="0,0"/>
          <v:stroke on="f"/>
          <v:imagedata o:title=""/>
          <o:lock v:ext="edit" aspectratio="t"/>
          <v:textpath on="t" fitshape="t" fitpath="t" trim="t" xscale="f" string="江苏省中药配方颗粒质量标准公示稿" style="font-family:宋体;font-size:36pt;v-text-align:center;"/>
        </v:shape>
      </w:pict>
    </w:r>
    <w:r>
      <w:rPr>
        <w:rFonts w:hint="eastAsia" w:ascii="Calibri" w:hAnsi="Calibri" w:eastAsia="宋体" w:cs="Times New Roman"/>
        <w:sz w:val="28"/>
        <w:szCs w:val="28"/>
      </w:rPr>
      <w:t>江苏省中药配方颗粒质量标准公示稿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AB4"/>
    <w:rsid w:val="00036F75"/>
    <w:rsid w:val="000976FD"/>
    <w:rsid w:val="000A2071"/>
    <w:rsid w:val="000B4D9A"/>
    <w:rsid w:val="000C5730"/>
    <w:rsid w:val="000E0E5D"/>
    <w:rsid w:val="00107655"/>
    <w:rsid w:val="00107F9E"/>
    <w:rsid w:val="001326E7"/>
    <w:rsid w:val="00146EBB"/>
    <w:rsid w:val="001B76FE"/>
    <w:rsid w:val="0021093E"/>
    <w:rsid w:val="00230802"/>
    <w:rsid w:val="002468DA"/>
    <w:rsid w:val="00276645"/>
    <w:rsid w:val="00287B21"/>
    <w:rsid w:val="00291B5F"/>
    <w:rsid w:val="00392709"/>
    <w:rsid w:val="00410E00"/>
    <w:rsid w:val="00456B21"/>
    <w:rsid w:val="004B4934"/>
    <w:rsid w:val="004D2025"/>
    <w:rsid w:val="004D2149"/>
    <w:rsid w:val="00500DCD"/>
    <w:rsid w:val="005A52D8"/>
    <w:rsid w:val="005E4699"/>
    <w:rsid w:val="005F5EB1"/>
    <w:rsid w:val="006064E5"/>
    <w:rsid w:val="00610AB1"/>
    <w:rsid w:val="0064611C"/>
    <w:rsid w:val="006740D9"/>
    <w:rsid w:val="0068484E"/>
    <w:rsid w:val="00706C50"/>
    <w:rsid w:val="0072226D"/>
    <w:rsid w:val="007A5E94"/>
    <w:rsid w:val="007E426B"/>
    <w:rsid w:val="00812517"/>
    <w:rsid w:val="008344FE"/>
    <w:rsid w:val="00957AB4"/>
    <w:rsid w:val="00981E8E"/>
    <w:rsid w:val="009B4D62"/>
    <w:rsid w:val="009D130D"/>
    <w:rsid w:val="009E42F0"/>
    <w:rsid w:val="009F41FA"/>
    <w:rsid w:val="00A16BBE"/>
    <w:rsid w:val="00A3171C"/>
    <w:rsid w:val="00A96167"/>
    <w:rsid w:val="00AE1CAC"/>
    <w:rsid w:val="00B56B53"/>
    <w:rsid w:val="00BC7843"/>
    <w:rsid w:val="00BD7321"/>
    <w:rsid w:val="00C41DC3"/>
    <w:rsid w:val="00C94330"/>
    <w:rsid w:val="00CD44FB"/>
    <w:rsid w:val="00CD5340"/>
    <w:rsid w:val="00CE0860"/>
    <w:rsid w:val="00CE300E"/>
    <w:rsid w:val="00ED5BAD"/>
    <w:rsid w:val="00EE5961"/>
    <w:rsid w:val="00FE63DF"/>
    <w:rsid w:val="295D00EB"/>
    <w:rsid w:val="3C6A3BB1"/>
    <w:rsid w:val="3FB84DD6"/>
    <w:rsid w:val="58CA365A"/>
    <w:rsid w:val="617B7F53"/>
    <w:rsid w:val="66032082"/>
    <w:rsid w:val="70C747C6"/>
    <w:rsid w:val="71462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99" w:semiHidden="0" w:name="heading 3"/>
    <w:lsdException w:qFormat="1"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autoRedefine/>
    <w:qFormat/>
    <w:uiPriority w:val="99"/>
    <w:pPr>
      <w:keepNext/>
      <w:keepLines/>
      <w:spacing w:before="100" w:beforeLines="100" w:after="100" w:afterLines="100" w:line="360" w:lineRule="auto"/>
      <w:outlineLvl w:val="0"/>
    </w:pPr>
    <w:rPr>
      <w:b/>
      <w:bCs/>
      <w:kern w:val="44"/>
      <w:sz w:val="28"/>
      <w:szCs w:val="44"/>
    </w:rPr>
  </w:style>
  <w:style w:type="paragraph" w:styleId="3">
    <w:name w:val="heading 2"/>
    <w:basedOn w:val="1"/>
    <w:next w:val="1"/>
    <w:link w:val="13"/>
    <w:autoRedefine/>
    <w:unhideWhenUsed/>
    <w:qFormat/>
    <w:uiPriority w:val="99"/>
    <w:pPr>
      <w:keepNext/>
      <w:keepLines/>
      <w:spacing w:line="360" w:lineRule="auto"/>
      <w:outlineLvl w:val="1"/>
    </w:pPr>
    <w:rPr>
      <w:b/>
      <w:bCs/>
      <w:szCs w:val="24"/>
    </w:rPr>
  </w:style>
  <w:style w:type="paragraph" w:styleId="4">
    <w:name w:val="heading 3"/>
    <w:basedOn w:val="1"/>
    <w:next w:val="1"/>
    <w:link w:val="14"/>
    <w:autoRedefine/>
    <w:unhideWhenUsed/>
    <w:qFormat/>
    <w:uiPriority w:val="99"/>
    <w:pPr>
      <w:keepNext/>
      <w:keepLines/>
      <w:spacing w:line="360" w:lineRule="auto"/>
      <w:outlineLvl w:val="2"/>
    </w:pPr>
    <w:rPr>
      <w:b/>
      <w:bCs/>
      <w:szCs w:val="32"/>
    </w:rPr>
  </w:style>
  <w:style w:type="paragraph" w:styleId="5">
    <w:name w:val="heading 4"/>
    <w:basedOn w:val="1"/>
    <w:next w:val="1"/>
    <w:link w:val="15"/>
    <w:autoRedefine/>
    <w:unhideWhenUsed/>
    <w:qFormat/>
    <w:uiPriority w:val="99"/>
    <w:pPr>
      <w:keepNext/>
      <w:keepLines/>
      <w:spacing w:line="360" w:lineRule="auto"/>
      <w:outlineLvl w:val="3"/>
    </w:pPr>
    <w:rPr>
      <w:rFonts w:cstheme="majorBidi"/>
      <w:b/>
      <w:bCs/>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0"/>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字符"/>
    <w:basedOn w:val="11"/>
    <w:link w:val="2"/>
    <w:qFormat/>
    <w:uiPriority w:val="99"/>
    <w:rPr>
      <w:b/>
      <w:bCs/>
      <w:kern w:val="44"/>
      <w:sz w:val="28"/>
      <w:szCs w:val="44"/>
    </w:rPr>
  </w:style>
  <w:style w:type="character" w:customStyle="1" w:styleId="13">
    <w:name w:val="标题 2 字符"/>
    <w:basedOn w:val="11"/>
    <w:link w:val="3"/>
    <w:qFormat/>
    <w:uiPriority w:val="99"/>
    <w:rPr>
      <w:b/>
      <w:bCs/>
      <w:szCs w:val="24"/>
    </w:rPr>
  </w:style>
  <w:style w:type="character" w:customStyle="1" w:styleId="14">
    <w:name w:val="标题 3 字符"/>
    <w:basedOn w:val="11"/>
    <w:link w:val="4"/>
    <w:qFormat/>
    <w:uiPriority w:val="99"/>
    <w:rPr>
      <w:b/>
      <w:bCs/>
      <w:szCs w:val="32"/>
    </w:rPr>
  </w:style>
  <w:style w:type="character" w:customStyle="1" w:styleId="15">
    <w:name w:val="标题 4 字符"/>
    <w:basedOn w:val="11"/>
    <w:link w:val="5"/>
    <w:qFormat/>
    <w:uiPriority w:val="99"/>
    <w:rPr>
      <w:rFonts w:cstheme="majorBidi"/>
      <w:b/>
      <w:bCs/>
      <w:szCs w:val="28"/>
    </w:rPr>
  </w:style>
  <w:style w:type="character" w:customStyle="1" w:styleId="16">
    <w:name w:val="页眉 字符"/>
    <w:basedOn w:val="11"/>
    <w:link w:val="8"/>
    <w:qFormat/>
    <w:uiPriority w:val="99"/>
    <w:rPr>
      <w:sz w:val="18"/>
      <w:szCs w:val="18"/>
    </w:rPr>
  </w:style>
  <w:style w:type="character" w:customStyle="1" w:styleId="17">
    <w:name w:val="页脚 字符"/>
    <w:basedOn w:val="11"/>
    <w:link w:val="7"/>
    <w:qFormat/>
    <w:uiPriority w:val="99"/>
    <w:rPr>
      <w:sz w:val="18"/>
      <w:szCs w:val="18"/>
    </w:rPr>
  </w:style>
  <w:style w:type="table" w:customStyle="1" w:styleId="18">
    <w:name w:val="三线表1"/>
    <w:basedOn w:val="9"/>
    <w:qFormat/>
    <w:uiPriority w:val="99"/>
    <w:rPr>
      <w:kern w:val="0"/>
      <w:sz w:val="21"/>
      <w:szCs w:val="20"/>
    </w:rPr>
    <w:tblPr>
      <w:jc w:val="center"/>
      <w:tblBorders>
        <w:top w:val="single" w:color="auto" w:sz="12" w:space="0"/>
        <w:bottom w:val="single" w:color="auto" w:sz="12" w:space="0"/>
      </w:tblBorders>
    </w:tblPr>
    <w:trPr>
      <w:jc w:val="center"/>
    </w:trPr>
    <w:tcPr>
      <w:vAlign w:val="center"/>
    </w:tcPr>
    <w:tblStylePr w:type="firstRow">
      <w:tcPr>
        <w:tcBorders>
          <w:top w:val="single" w:color="auto" w:sz="12" w:space="0"/>
          <w:left w:val="nil"/>
          <w:bottom w:val="single" w:color="auto" w:sz="8" w:space="0"/>
          <w:right w:val="nil"/>
          <w:insideH w:val="nil"/>
          <w:insideV w:val="nil"/>
          <w:tl2br w:val="nil"/>
          <w:tr2bl w:val="nil"/>
        </w:tcBorders>
      </w:tcPr>
    </w:tblStylePr>
  </w:style>
  <w:style w:type="table" w:customStyle="1" w:styleId="19">
    <w:name w:val="网格型1"/>
    <w:basedOn w:val="9"/>
    <w:qFormat/>
    <w:uiPriority w:val="0"/>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0">
    <w:name w:val="批注框文本 字符"/>
    <w:basedOn w:val="11"/>
    <w:link w:val="6"/>
    <w:semiHidden/>
    <w:qFormat/>
    <w:uiPriority w:val="99"/>
    <w:rPr>
      <w:rFonts w:asciiTheme="minorHAnsi" w:hAnsiTheme="minorHAnsi" w:eastAsiaTheme="minorEastAsia" w:cstheme="minorBidi"/>
      <w:sz w:val="18"/>
      <w:szCs w:val="18"/>
    </w:rPr>
  </w:style>
  <w:style w:type="table" w:customStyle="1" w:styleId="21">
    <w:name w:val="三线表"/>
    <w:basedOn w:val="9"/>
    <w:qFormat/>
    <w:uiPriority w:val="99"/>
    <w:rPr>
      <w:kern w:val="0"/>
      <w:sz w:val="21"/>
      <w:szCs w:val="20"/>
    </w:rPr>
    <w:tblPr>
      <w:jc w:val="center"/>
      <w:tblBorders>
        <w:top w:val="single" w:color="auto" w:sz="12" w:space="0"/>
        <w:bottom w:val="single" w:color="auto" w:sz="12" w:space="0"/>
      </w:tblBorders>
    </w:tblPr>
    <w:trPr>
      <w:jc w:val="center"/>
    </w:trPr>
    <w:tcPr>
      <w:vAlign w:val="center"/>
    </w:tcPr>
    <w:tblStylePr w:type="firstRow">
      <w:tcPr>
        <w:tcBorders>
          <w:top w:val="single" w:color="auto" w:sz="12" w:space="0"/>
          <w:left w:val="nil"/>
          <w:bottom w:val="single" w:color="auto" w:sz="8" w:space="0"/>
          <w:right w:val="nil"/>
          <w:insideH w:val="nil"/>
          <w:insideV w:val="nil"/>
          <w:tl2br w:val="nil"/>
          <w:tr2bl w:val="nil"/>
        </w:tcBorders>
      </w:tcPr>
    </w:tblStylePr>
  </w:style>
  <w:style w:type="table" w:customStyle="1" w:styleId="22">
    <w:name w:val="样式2"/>
    <w:basedOn w:val="9"/>
    <w:qFormat/>
    <w:uiPriority w:val="99"/>
    <w:pPr>
      <w:jc w:val="center"/>
    </w:pPr>
    <w:rPr>
      <w:kern w:val="0"/>
      <w:sz w:val="21"/>
      <w:szCs w:val="20"/>
    </w:rPr>
    <w:tblPr>
      <w:jc w:val="center"/>
      <w:tblBorders>
        <w:top w:val="single" w:color="auto" w:sz="12" w:space="0"/>
        <w:bottom w:val="single" w:color="auto" w:sz="12" w:space="0"/>
      </w:tblBorders>
    </w:tblPr>
    <w:trPr>
      <w:jc w:val="center"/>
    </w:trPr>
    <w:tcPr>
      <w:vAlign w:val="center"/>
    </w:tcPr>
    <w:tblStylePr w:type="firstRow">
      <w:tcPr>
        <w:tcBorders>
          <w:bottom w:val="single" w:color="auto" w:sz="8" w:space="0"/>
        </w:tcBorders>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1482</Words>
  <Characters>1791</Characters>
  <Lines>15</Lines>
  <Paragraphs>4</Paragraphs>
  <TotalTime>14</TotalTime>
  <ScaleCrop>false</ScaleCrop>
  <LinksUpToDate>false</LinksUpToDate>
  <CharactersWithSpaces>1832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2022-10-28T08:09:00Z</dcterms:created>
  <dc:creator>顾珂镭</dc:creator>
  <cp:lastModifiedBy>李小蜗</cp:lastModifiedBy>
  <dcterms:modified xsi:type="dcterms:W3CDTF">2025-01-08T01:39:47Z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eyJoZGlkIjoiMmI2MzE1NTQ0YjVhODQxYzZkZTNmMjdmMTczZTQ5ODMiLCJ1c2VySWQiOiIzMDE1NzkzNzYifQ==</vt:lpwstr>
  </property>
  <property fmtid="{D5CDD505-2E9C-101B-9397-08002B2CF9AE}" pid="3" name="KSOProductBuildVer">
    <vt:lpwstr>2052-12.1.0.19770</vt:lpwstr>
  </property>
  <property fmtid="{D5CDD505-2E9C-101B-9397-08002B2CF9AE}" pid="4" name="ICV">
    <vt:lpwstr>43607AF6C060422A9FD6E48587C3AEF8_13</vt:lpwstr>
  </property>
</Properties>
</file>