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CF2B7">
      <w:pPr>
        <w:adjustRightInd w:val="0"/>
        <w:snapToGrid w:val="0"/>
        <w:spacing w:before="240"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鸭跖草配方颗粒</w:t>
      </w:r>
    </w:p>
    <w:p w14:paraId="79CE7246">
      <w:pPr>
        <w:adjustRightInd w:val="0"/>
        <w:snapToGrid w:val="0"/>
        <w:spacing w:line="360" w:lineRule="auto"/>
        <w:jc w:val="center"/>
        <w:rPr>
          <w:rFonts w:ascii="Times New Roman" w:hAnsi="Times New Roman" w:eastAsia="宋体" w:cs="Times New Roman"/>
          <w:b/>
          <w:bCs/>
          <w:sz w:val="28"/>
          <w:szCs w:val="28"/>
        </w:rPr>
      </w:pPr>
      <w:r>
        <w:rPr>
          <w:rFonts w:ascii="Times New Roman" w:hAnsi="Times New Roman" w:eastAsia="Times New Roman" w:cs="Times New Roman"/>
          <w:b/>
          <w:bCs/>
          <w:spacing w:val="-1"/>
          <w:sz w:val="28"/>
          <w:szCs w:val="28"/>
        </w:rPr>
        <w:t xml:space="preserve">Yazhicao </w:t>
      </w:r>
      <w:r>
        <w:rPr>
          <w:rFonts w:ascii="Times New Roman" w:hAnsi="Times New Roman" w:eastAsia="宋体" w:cs="Times New Roman"/>
          <w:b/>
          <w:bCs/>
          <w:spacing w:val="-1"/>
          <w:sz w:val="28"/>
          <w:szCs w:val="28"/>
        </w:rPr>
        <w:t xml:space="preserve"> </w:t>
      </w:r>
      <w:r>
        <w:rPr>
          <w:rFonts w:ascii="Times New Roman" w:hAnsi="Times New Roman" w:eastAsia="Times New Roman" w:cs="Times New Roman"/>
          <w:b/>
          <w:bCs/>
          <w:spacing w:val="-1"/>
          <w:sz w:val="28"/>
          <w:szCs w:val="28"/>
        </w:rPr>
        <w:t>Peifangkeli</w:t>
      </w:r>
    </w:p>
    <w:p w14:paraId="3D8654D5">
      <w:pPr>
        <w:adjustRightInd w:val="0"/>
        <w:snapToGrid w:val="0"/>
        <w:spacing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【来源】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本品为鸭跖草科植物鸭跖草</w:t>
      </w:r>
      <w:r>
        <w:rPr>
          <w:rFonts w:ascii="Times New Roman" w:hAnsi="Times New Roman" w:eastAsia="宋体" w:cs="Times New Roman"/>
          <w:i/>
          <w:iCs/>
          <w:sz w:val="24"/>
          <w:szCs w:val="24"/>
        </w:rPr>
        <w:t>Commelina communis</w:t>
      </w:r>
      <w:r>
        <w:rPr>
          <w:rFonts w:ascii="Times New Roman" w:hAnsi="Times New Roman" w:eastAsia="宋体" w:cs="Times New Roman"/>
          <w:sz w:val="24"/>
          <w:szCs w:val="24"/>
        </w:rPr>
        <w:t xml:space="preserve"> L.的干燥地上部分经炮制并按标准汤剂的主要质量指标加工制成的配方颗粒。</w:t>
      </w:r>
    </w:p>
    <w:p w14:paraId="06D4DB15">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【制法】</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 xml:space="preserve"> 取鸭跖草饮片9000g，加水煎煮，滤过，滤液浓缩成清膏（出膏率为6.0～11.1%），加入辅料适量，干燥（或干燥、粉碎），再加入辅料适量，混匀，制粒，制成1000g，即得。</w:t>
      </w:r>
    </w:p>
    <w:p w14:paraId="3E1E6E72">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【性状】</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本品为棕黄色至棕褐色的颗粒；气香，味微苦。</w:t>
      </w:r>
    </w:p>
    <w:p w14:paraId="7F70C930">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【鉴别】</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 xml:space="preserve"> 取本品2g，研细，加乙醇25ml，加热回流30分钟，滤过，滤液蒸干，残渣加乙醇2ml使溶解，作为供试品溶液。另取鸭跖草对照药材0.5g，同法制成对照药材溶液。照薄层色谱法（中国药典 通则0502）试验，吸取供试品溶液5μl、对照药材溶液2μl，分别点于同一硅胶G薄层板上，以甲苯-乙酸乙酯（2</w:t>
      </w:r>
      <w:r>
        <w:rPr>
          <w:rFonts w:hint="eastAsia" w:ascii="宋体" w:hAnsi="宋体" w:eastAsia="宋体" w:cs="宋体"/>
          <w:sz w:val="24"/>
          <w:szCs w:val="24"/>
        </w:rPr>
        <w:t>∶</w:t>
      </w:r>
      <w:r>
        <w:rPr>
          <w:rFonts w:ascii="Times New Roman" w:hAnsi="Times New Roman" w:eastAsia="宋体" w:cs="Times New Roman"/>
          <w:sz w:val="24"/>
          <w:szCs w:val="24"/>
        </w:rPr>
        <w:t>1）为展开剂，展开，取出，晾干，喷以10%硫酸乙醇溶液，在105℃加热至斑点显色清晰，置紫外光灯（365nm）下检视。供试品色谱中，在与对照药材色谱相应的位置上，显相同颜色的荧光主斑点。</w:t>
      </w:r>
    </w:p>
    <w:p w14:paraId="183F5011">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【特征图谱】</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 xml:space="preserve"> 照高效液相色谱法（中国药典 通则0512）测定。</w:t>
      </w:r>
    </w:p>
    <w:p w14:paraId="393B4D14">
      <w:pPr>
        <w:adjustRightInd w:val="0"/>
        <w:snapToGrid w:val="0"/>
        <w:spacing w:line="360" w:lineRule="auto"/>
        <w:ind w:right="-20" w:firstLine="463" w:firstLineChars="192"/>
        <w:rPr>
          <w:rFonts w:hint="eastAsia" w:ascii="Times New Roman" w:hAnsi="Times New Roman" w:eastAsia="宋体" w:cs="Times New Roman"/>
          <w:bCs/>
          <w:sz w:val="24"/>
          <w:szCs w:val="24"/>
        </w:rPr>
      </w:pPr>
      <w:r>
        <w:rPr>
          <w:rFonts w:ascii="Times New Roman" w:hAnsi="Times New Roman" w:eastAsia="宋体" w:cs="Times New Roman"/>
          <w:b/>
          <w:sz w:val="24"/>
          <w:szCs w:val="24"/>
        </w:rPr>
        <w:t xml:space="preserve">色谱条件与系统适用性试验  </w:t>
      </w:r>
      <w:r>
        <w:rPr>
          <w:rFonts w:ascii="Times New Roman" w:hAnsi="Times New Roman" w:eastAsia="宋体" w:cs="Times New Roman"/>
          <w:bCs/>
          <w:sz w:val="24"/>
          <w:szCs w:val="24"/>
        </w:rPr>
        <w:t>以十八烷基硅烷键合硅胶为填充剂；以乙腈为流动相A，以0.1%磷酸溶液为流动相B，按下表梯度洗脱；检测波长为270nm。理论板数按4-香豆酸峰计应不低于5000。</w:t>
      </w:r>
    </w:p>
    <w:tbl>
      <w:tblPr>
        <w:tblStyle w:val="9"/>
        <w:tblW w:w="5000"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578"/>
        <w:gridCol w:w="2963"/>
        <w:gridCol w:w="2765"/>
      </w:tblGrid>
      <w:tr w14:paraId="1315509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22" w:hRule="exact"/>
          <w:jc w:val="center"/>
        </w:trPr>
        <w:tc>
          <w:tcPr>
            <w:tcW w:w="1552" w:type="pct"/>
            <w:tcBorders>
              <w:top w:val="single" w:color="000000" w:sz="12" w:space="0"/>
              <w:bottom w:val="single" w:color="000000" w:sz="8" w:space="0"/>
            </w:tcBorders>
          </w:tcPr>
          <w:p w14:paraId="1DE2C65B">
            <w:pPr>
              <w:ind w:left="180" w:right="-20"/>
              <w:jc w:val="center"/>
              <w:rPr>
                <w:rFonts w:ascii="Times New Roman" w:hAnsi="Times New Roman" w:eastAsia="宋体" w:cs="Times New Roman"/>
                <w:sz w:val="24"/>
                <w:szCs w:val="24"/>
              </w:rPr>
            </w:pPr>
            <w:r>
              <w:rPr>
                <w:rFonts w:ascii="Times New Roman" w:hAnsi="Times New Roman" w:eastAsia="宋体" w:cs="Times New Roman"/>
                <w:sz w:val="24"/>
                <w:szCs w:val="24"/>
              </w:rPr>
              <w:t>时间</w:t>
            </w:r>
            <w:r>
              <w:rPr>
                <w:rFonts w:ascii="Times New Roman" w:hAnsi="Times New Roman" w:eastAsia="宋体" w:cs="Times New Roman"/>
                <w:spacing w:val="-2"/>
                <w:sz w:val="24"/>
                <w:szCs w:val="24"/>
              </w:rPr>
              <w:t>（</w:t>
            </w:r>
            <w:r>
              <w:rPr>
                <w:rFonts w:ascii="Times New Roman" w:hAnsi="Times New Roman" w:eastAsia="宋体" w:cs="Times New Roman"/>
                <w:sz w:val="24"/>
                <w:szCs w:val="24"/>
              </w:rPr>
              <w:t>分</w:t>
            </w:r>
            <w:r>
              <w:rPr>
                <w:rFonts w:ascii="Times New Roman" w:hAnsi="Times New Roman" w:eastAsia="宋体" w:cs="Times New Roman"/>
                <w:spacing w:val="-2"/>
                <w:sz w:val="24"/>
                <w:szCs w:val="24"/>
              </w:rPr>
              <w:t>钟</w:t>
            </w:r>
            <w:r>
              <w:rPr>
                <w:rFonts w:ascii="Times New Roman" w:hAnsi="Times New Roman" w:eastAsia="宋体" w:cs="Times New Roman"/>
                <w:sz w:val="24"/>
                <w:szCs w:val="24"/>
              </w:rPr>
              <w:t>）</w:t>
            </w:r>
          </w:p>
        </w:tc>
        <w:tc>
          <w:tcPr>
            <w:tcW w:w="1783" w:type="pct"/>
            <w:tcBorders>
              <w:top w:val="single" w:color="000000" w:sz="12" w:space="0"/>
              <w:bottom w:val="single" w:color="000000" w:sz="8" w:space="0"/>
            </w:tcBorders>
          </w:tcPr>
          <w:p w14:paraId="062C3E62">
            <w:pPr>
              <w:ind w:left="294" w:right="-20"/>
              <w:jc w:val="center"/>
              <w:rPr>
                <w:rFonts w:ascii="Times New Roman" w:hAnsi="Times New Roman" w:eastAsia="宋体" w:cs="Times New Roman"/>
                <w:sz w:val="24"/>
                <w:szCs w:val="24"/>
              </w:rPr>
            </w:pPr>
            <w:r>
              <w:rPr>
                <w:rFonts w:ascii="Times New Roman" w:hAnsi="Times New Roman" w:eastAsia="宋体" w:cs="Times New Roman"/>
                <w:sz w:val="24"/>
                <w:szCs w:val="24"/>
              </w:rPr>
              <w:t>流</w:t>
            </w:r>
            <w:r>
              <w:rPr>
                <w:rFonts w:ascii="Times New Roman" w:hAnsi="Times New Roman" w:eastAsia="宋体" w:cs="Times New Roman"/>
                <w:spacing w:val="-2"/>
                <w:sz w:val="24"/>
                <w:szCs w:val="24"/>
              </w:rPr>
              <w:t>动</w:t>
            </w:r>
            <w:r>
              <w:rPr>
                <w:rFonts w:ascii="Times New Roman" w:hAnsi="Times New Roman" w:eastAsia="宋体" w:cs="Times New Roman"/>
                <w:sz w:val="24"/>
                <w:szCs w:val="24"/>
              </w:rPr>
              <w:t>相</w:t>
            </w:r>
            <w:r>
              <w:rPr>
                <w:rFonts w:ascii="Times New Roman" w:hAnsi="Times New Roman" w:eastAsia="宋体" w:cs="Times New Roman"/>
                <w:spacing w:val="-1"/>
                <w:sz w:val="24"/>
                <w:szCs w:val="24"/>
              </w:rPr>
              <w:t>A</w:t>
            </w:r>
            <w:r>
              <w:rPr>
                <w:rFonts w:ascii="Times New Roman" w:hAnsi="Times New Roman" w:eastAsia="宋体" w:cs="Times New Roman"/>
                <w:sz w:val="24"/>
                <w:szCs w:val="24"/>
              </w:rPr>
              <w:t>（</w:t>
            </w:r>
            <w:r>
              <w:rPr>
                <w:rFonts w:ascii="Times New Roman" w:hAnsi="Times New Roman" w:eastAsia="宋体" w:cs="Times New Roman"/>
                <w:spacing w:val="-3"/>
                <w:sz w:val="24"/>
                <w:szCs w:val="24"/>
              </w:rPr>
              <w:t>%</w:t>
            </w:r>
            <w:r>
              <w:rPr>
                <w:rFonts w:ascii="Times New Roman" w:hAnsi="Times New Roman" w:eastAsia="宋体" w:cs="Times New Roman"/>
                <w:sz w:val="24"/>
                <w:szCs w:val="24"/>
              </w:rPr>
              <w:t>）</w:t>
            </w:r>
          </w:p>
        </w:tc>
        <w:tc>
          <w:tcPr>
            <w:tcW w:w="1664" w:type="pct"/>
            <w:tcBorders>
              <w:top w:val="single" w:color="000000" w:sz="12" w:space="0"/>
              <w:bottom w:val="single" w:color="000000" w:sz="8" w:space="0"/>
            </w:tcBorders>
          </w:tcPr>
          <w:p w14:paraId="192669D1">
            <w:pPr>
              <w:ind w:left="254" w:right="-20"/>
              <w:jc w:val="center"/>
              <w:rPr>
                <w:rFonts w:ascii="Times New Roman" w:hAnsi="Times New Roman" w:eastAsia="宋体" w:cs="Times New Roman"/>
                <w:sz w:val="24"/>
                <w:szCs w:val="24"/>
              </w:rPr>
            </w:pPr>
            <w:r>
              <w:rPr>
                <w:rFonts w:ascii="Times New Roman" w:hAnsi="Times New Roman" w:eastAsia="宋体" w:cs="Times New Roman"/>
                <w:sz w:val="24"/>
                <w:szCs w:val="24"/>
              </w:rPr>
              <w:t>流</w:t>
            </w:r>
            <w:r>
              <w:rPr>
                <w:rFonts w:ascii="Times New Roman" w:hAnsi="Times New Roman" w:eastAsia="宋体" w:cs="Times New Roman"/>
                <w:spacing w:val="-2"/>
                <w:sz w:val="24"/>
                <w:szCs w:val="24"/>
              </w:rPr>
              <w:t>动</w:t>
            </w:r>
            <w:r>
              <w:rPr>
                <w:rFonts w:ascii="Times New Roman" w:hAnsi="Times New Roman" w:eastAsia="宋体" w:cs="Times New Roman"/>
                <w:sz w:val="24"/>
                <w:szCs w:val="24"/>
              </w:rPr>
              <w:t>相</w:t>
            </w:r>
            <w:r>
              <w:rPr>
                <w:rFonts w:ascii="Times New Roman" w:hAnsi="Times New Roman" w:eastAsia="宋体" w:cs="Times New Roman"/>
                <w:spacing w:val="-2"/>
                <w:sz w:val="24"/>
                <w:szCs w:val="24"/>
              </w:rPr>
              <w:t>B</w:t>
            </w:r>
            <w:r>
              <w:rPr>
                <w:rFonts w:ascii="Times New Roman" w:hAnsi="Times New Roman" w:eastAsia="宋体" w:cs="Times New Roman"/>
                <w:sz w:val="24"/>
                <w:szCs w:val="24"/>
              </w:rPr>
              <w:t>（</w:t>
            </w:r>
            <w:r>
              <w:rPr>
                <w:rFonts w:ascii="Times New Roman" w:hAnsi="Times New Roman" w:eastAsia="宋体" w:cs="Times New Roman"/>
                <w:spacing w:val="-1"/>
                <w:sz w:val="24"/>
                <w:szCs w:val="24"/>
              </w:rPr>
              <w:t>%</w:t>
            </w:r>
            <w:r>
              <w:rPr>
                <w:rFonts w:ascii="Times New Roman" w:hAnsi="Times New Roman" w:eastAsia="宋体" w:cs="Times New Roman"/>
                <w:sz w:val="24"/>
                <w:szCs w:val="24"/>
              </w:rPr>
              <w:t>）</w:t>
            </w:r>
          </w:p>
        </w:tc>
      </w:tr>
      <w:tr w14:paraId="4DDCA1A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exact"/>
          <w:jc w:val="center"/>
        </w:trPr>
        <w:tc>
          <w:tcPr>
            <w:tcW w:w="1552" w:type="pct"/>
            <w:tcBorders>
              <w:top w:val="single" w:color="000000" w:sz="8" w:space="0"/>
            </w:tcBorders>
          </w:tcPr>
          <w:p w14:paraId="5ECF3F32">
            <w:pPr>
              <w:spacing w:before="35"/>
              <w:ind w:left="721" w:right="902"/>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w:t>
            </w:r>
          </w:p>
        </w:tc>
        <w:tc>
          <w:tcPr>
            <w:tcW w:w="1783" w:type="pct"/>
            <w:tcBorders>
              <w:top w:val="single" w:color="000000" w:sz="8" w:space="0"/>
            </w:tcBorders>
          </w:tcPr>
          <w:p w14:paraId="5CAF18C8">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7</w:t>
            </w:r>
          </w:p>
        </w:tc>
        <w:tc>
          <w:tcPr>
            <w:tcW w:w="1664" w:type="pct"/>
            <w:tcBorders>
              <w:top w:val="single" w:color="000000" w:sz="8" w:space="0"/>
            </w:tcBorders>
          </w:tcPr>
          <w:p w14:paraId="4712F166">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9</w:t>
            </w:r>
            <w:r>
              <w:rPr>
                <w:rFonts w:ascii="Times New Roman" w:hAnsi="Times New Roman" w:eastAsia="等线" w:cs="Times New Roman"/>
                <w:sz w:val="24"/>
                <w:szCs w:val="24"/>
              </w:rPr>
              <w:t>3</w:t>
            </w:r>
          </w:p>
        </w:tc>
      </w:tr>
      <w:tr w14:paraId="6511C01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2" w:type="pct"/>
          </w:tcPr>
          <w:p w14:paraId="49E5B6FC">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3</w:t>
            </w:r>
          </w:p>
        </w:tc>
        <w:tc>
          <w:tcPr>
            <w:tcW w:w="1783" w:type="pct"/>
          </w:tcPr>
          <w:p w14:paraId="7242DA42">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7</w:t>
            </w:r>
          </w:p>
        </w:tc>
        <w:tc>
          <w:tcPr>
            <w:tcW w:w="1664" w:type="pct"/>
          </w:tcPr>
          <w:p w14:paraId="3C29FA46">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9</w:t>
            </w:r>
            <w:r>
              <w:rPr>
                <w:rFonts w:ascii="Times New Roman" w:hAnsi="Times New Roman" w:eastAsia="等线" w:cs="Times New Roman"/>
                <w:sz w:val="24"/>
                <w:szCs w:val="24"/>
              </w:rPr>
              <w:t>3</w:t>
            </w:r>
          </w:p>
        </w:tc>
      </w:tr>
      <w:tr w14:paraId="2F86AA6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2" w:type="pct"/>
          </w:tcPr>
          <w:p w14:paraId="26F66482">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2</w:t>
            </w:r>
            <w:r>
              <w:rPr>
                <w:rFonts w:ascii="Times New Roman" w:hAnsi="Times New Roman" w:eastAsia="等线" w:cs="Times New Roman"/>
                <w:sz w:val="24"/>
                <w:szCs w:val="24"/>
              </w:rPr>
              <w:t>5</w:t>
            </w:r>
          </w:p>
        </w:tc>
        <w:tc>
          <w:tcPr>
            <w:tcW w:w="1783" w:type="pct"/>
          </w:tcPr>
          <w:p w14:paraId="14A008F2">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1</w:t>
            </w:r>
            <w:r>
              <w:rPr>
                <w:rFonts w:ascii="Times New Roman" w:hAnsi="Times New Roman" w:eastAsia="等线" w:cs="Times New Roman"/>
                <w:sz w:val="24"/>
                <w:szCs w:val="24"/>
              </w:rPr>
              <w:t>3</w:t>
            </w:r>
          </w:p>
        </w:tc>
        <w:tc>
          <w:tcPr>
            <w:tcW w:w="1664" w:type="pct"/>
          </w:tcPr>
          <w:p w14:paraId="750B0562">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8</w:t>
            </w:r>
            <w:r>
              <w:rPr>
                <w:rFonts w:ascii="Times New Roman" w:hAnsi="Times New Roman" w:eastAsia="等线" w:cs="Times New Roman"/>
                <w:sz w:val="24"/>
                <w:szCs w:val="24"/>
              </w:rPr>
              <w:t>7</w:t>
            </w:r>
          </w:p>
        </w:tc>
      </w:tr>
      <w:tr w14:paraId="2D1F073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jc w:val="center"/>
        </w:trPr>
        <w:tc>
          <w:tcPr>
            <w:tcW w:w="1552" w:type="pct"/>
          </w:tcPr>
          <w:p w14:paraId="6B3EFB0F">
            <w:pPr>
              <w:spacing w:before="24"/>
              <w:ind w:left="668" w:right="849"/>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4</w:t>
            </w:r>
            <w:r>
              <w:rPr>
                <w:rFonts w:ascii="Times New Roman" w:hAnsi="Times New Roman" w:eastAsia="等线" w:cs="Times New Roman"/>
                <w:sz w:val="24"/>
                <w:szCs w:val="24"/>
              </w:rPr>
              <w:t>0</w:t>
            </w:r>
          </w:p>
        </w:tc>
        <w:tc>
          <w:tcPr>
            <w:tcW w:w="1783" w:type="pct"/>
          </w:tcPr>
          <w:p w14:paraId="39A10D92">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1</w:t>
            </w:r>
            <w:r>
              <w:rPr>
                <w:rFonts w:ascii="Times New Roman" w:hAnsi="Times New Roman" w:eastAsia="等线" w:cs="Times New Roman"/>
                <w:sz w:val="24"/>
                <w:szCs w:val="24"/>
              </w:rPr>
              <w:t>4.5</w:t>
            </w:r>
          </w:p>
        </w:tc>
        <w:tc>
          <w:tcPr>
            <w:tcW w:w="1664" w:type="pct"/>
          </w:tcPr>
          <w:p w14:paraId="55081C15">
            <w:pPr>
              <w:spacing w:before="35"/>
              <w:ind w:left="836" w:right="811"/>
              <w:jc w:val="center"/>
              <w:rPr>
                <w:rFonts w:ascii="Times New Roman" w:hAnsi="Times New Roman" w:eastAsia="等线" w:cs="Times New Roman"/>
                <w:sz w:val="24"/>
                <w:szCs w:val="24"/>
              </w:rPr>
            </w:pPr>
            <w:r>
              <w:rPr>
                <w:rFonts w:hint="eastAsia" w:ascii="Times New Roman" w:hAnsi="Times New Roman" w:eastAsia="等线" w:cs="Times New Roman"/>
                <w:sz w:val="24"/>
                <w:szCs w:val="24"/>
              </w:rPr>
              <w:t>8</w:t>
            </w:r>
            <w:r>
              <w:rPr>
                <w:rFonts w:ascii="Times New Roman" w:hAnsi="Times New Roman" w:eastAsia="等线" w:cs="Times New Roman"/>
                <w:sz w:val="24"/>
                <w:szCs w:val="24"/>
              </w:rPr>
              <w:t>5.5</w:t>
            </w:r>
          </w:p>
        </w:tc>
      </w:tr>
    </w:tbl>
    <w:p w14:paraId="0190D1B4">
      <w:pPr>
        <w:adjustRightInd w:val="0"/>
        <w:snapToGrid w:val="0"/>
        <w:spacing w:line="360" w:lineRule="auto"/>
        <w:ind w:right="-20" w:firstLine="490" w:firstLineChars="200"/>
        <w:rPr>
          <w:rFonts w:ascii="Times New Roman" w:hAnsi="Times New Roman" w:eastAsia="宋体" w:cs="Times New Roman"/>
          <w:spacing w:val="-2"/>
          <w:position w:val="-1"/>
          <w:sz w:val="24"/>
          <w:szCs w:val="24"/>
        </w:rPr>
      </w:pPr>
      <w:r>
        <w:rPr>
          <w:rFonts w:ascii="Times New Roman" w:hAnsi="Times New Roman" w:eastAsia="宋体" w:cs="Times New Roman"/>
          <w:b/>
          <w:spacing w:val="2"/>
          <w:position w:val="-1"/>
          <w:sz w:val="24"/>
          <w:szCs w:val="24"/>
        </w:rPr>
        <w:t>参</w:t>
      </w:r>
      <w:r>
        <w:rPr>
          <w:rFonts w:ascii="Times New Roman" w:hAnsi="Times New Roman" w:eastAsia="宋体" w:cs="Times New Roman"/>
          <w:b/>
          <w:position w:val="-1"/>
          <w:sz w:val="24"/>
          <w:szCs w:val="24"/>
        </w:rPr>
        <w:t>照</w:t>
      </w:r>
      <w:r>
        <w:rPr>
          <w:rFonts w:ascii="Times New Roman" w:hAnsi="Times New Roman" w:eastAsia="宋体" w:cs="Times New Roman"/>
          <w:b/>
          <w:spacing w:val="2"/>
          <w:position w:val="-1"/>
          <w:sz w:val="24"/>
          <w:szCs w:val="24"/>
        </w:rPr>
        <w:t>物</w:t>
      </w:r>
      <w:r>
        <w:rPr>
          <w:rFonts w:ascii="Times New Roman" w:hAnsi="Times New Roman" w:eastAsia="宋体" w:cs="Times New Roman"/>
          <w:b/>
          <w:position w:val="-1"/>
          <w:sz w:val="24"/>
          <w:szCs w:val="24"/>
        </w:rPr>
        <w:t>溶液</w:t>
      </w:r>
      <w:r>
        <w:rPr>
          <w:rFonts w:ascii="Times New Roman" w:hAnsi="Times New Roman" w:eastAsia="宋体" w:cs="Times New Roman"/>
          <w:b/>
          <w:spacing w:val="2"/>
          <w:position w:val="-1"/>
          <w:sz w:val="24"/>
          <w:szCs w:val="24"/>
        </w:rPr>
        <w:t>的</w:t>
      </w:r>
      <w:r>
        <w:rPr>
          <w:rFonts w:ascii="Times New Roman" w:hAnsi="Times New Roman" w:eastAsia="宋体" w:cs="Times New Roman"/>
          <w:b/>
          <w:position w:val="-1"/>
          <w:sz w:val="24"/>
          <w:szCs w:val="24"/>
        </w:rPr>
        <w:t xml:space="preserve">制备  </w:t>
      </w:r>
      <w:r>
        <w:rPr>
          <w:rFonts w:ascii="Times New Roman" w:hAnsi="Times New Roman" w:eastAsia="宋体" w:cs="Times New Roman"/>
          <w:spacing w:val="-2"/>
          <w:position w:val="-1"/>
          <w:sz w:val="24"/>
          <w:szCs w:val="24"/>
        </w:rPr>
        <w:t>取鸭跖草对照药材3g，加水30ml，加热回流30分钟，放冷，离心，取上清液浓缩至近干，残渣加甲醇5ml使溶解，摇匀，滤过，取续滤液，作为对照药材参照物溶液。另取4-香豆酸对照品适量，精密称定，加甲醇制成每1ml含24μg的溶液，作为对照品参照物溶液。</w:t>
      </w:r>
    </w:p>
    <w:p w14:paraId="2AFBB414">
      <w:pPr>
        <w:adjustRightInd w:val="0"/>
        <w:snapToGrid w:val="0"/>
        <w:spacing w:before="13" w:line="360" w:lineRule="auto"/>
        <w:ind w:right="54" w:firstLine="490" w:firstLineChars="200"/>
        <w:rPr>
          <w:rFonts w:ascii="Times New Roman" w:hAnsi="Times New Roman" w:eastAsia="宋体" w:cs="Times New Roman"/>
          <w:sz w:val="24"/>
          <w:szCs w:val="24"/>
        </w:rPr>
      </w:pPr>
      <w:r>
        <w:rPr>
          <w:rFonts w:ascii="Times New Roman" w:hAnsi="Times New Roman" w:eastAsia="宋体" w:cs="Times New Roman"/>
          <w:b/>
          <w:spacing w:val="2"/>
          <w:sz w:val="24"/>
          <w:szCs w:val="24"/>
        </w:rPr>
        <w:t>供</w:t>
      </w:r>
      <w:r>
        <w:rPr>
          <w:rFonts w:ascii="Times New Roman" w:hAnsi="Times New Roman" w:eastAsia="宋体" w:cs="Times New Roman"/>
          <w:b/>
          <w:sz w:val="24"/>
          <w:szCs w:val="24"/>
        </w:rPr>
        <w:t>试</w:t>
      </w:r>
      <w:r>
        <w:rPr>
          <w:rFonts w:ascii="Times New Roman" w:hAnsi="Times New Roman" w:eastAsia="宋体" w:cs="Times New Roman"/>
          <w:b/>
          <w:spacing w:val="2"/>
          <w:sz w:val="24"/>
          <w:szCs w:val="24"/>
        </w:rPr>
        <w:t>品</w:t>
      </w:r>
      <w:r>
        <w:rPr>
          <w:rFonts w:ascii="Times New Roman" w:hAnsi="Times New Roman" w:eastAsia="宋体" w:cs="Times New Roman"/>
          <w:b/>
          <w:sz w:val="24"/>
          <w:szCs w:val="24"/>
        </w:rPr>
        <w:t>溶液</w:t>
      </w:r>
      <w:r>
        <w:rPr>
          <w:rFonts w:ascii="Times New Roman" w:hAnsi="Times New Roman" w:eastAsia="宋体" w:cs="Times New Roman"/>
          <w:b/>
          <w:spacing w:val="2"/>
          <w:sz w:val="24"/>
          <w:szCs w:val="24"/>
        </w:rPr>
        <w:t>的</w:t>
      </w:r>
      <w:r>
        <w:rPr>
          <w:rFonts w:ascii="Times New Roman" w:hAnsi="Times New Roman" w:eastAsia="宋体" w:cs="Times New Roman"/>
          <w:b/>
          <w:sz w:val="24"/>
          <w:szCs w:val="24"/>
        </w:rPr>
        <w:t xml:space="preserve">制备  </w:t>
      </w:r>
      <w:r>
        <w:rPr>
          <w:rFonts w:ascii="Times New Roman" w:hAnsi="Times New Roman" w:eastAsia="宋体" w:cs="Times New Roman"/>
          <w:bCs/>
          <w:sz w:val="24"/>
          <w:szCs w:val="24"/>
        </w:rPr>
        <w:t>取本品适量，研细，取约0.5g，精密称定，置具塞锥形瓶中，精密加入甲醇10ml，密塞，称定重量，超声处理（功率1130W，频率37kHz）15分钟，放冷，再称定重量，用甲醇补足减失的重量，摇匀，滤过，取续滤液，即得。</w:t>
      </w:r>
    </w:p>
    <w:p w14:paraId="7D313C41">
      <w:pPr>
        <w:adjustRightInd w:val="0"/>
        <w:snapToGrid w:val="0"/>
        <w:spacing w:before="13" w:line="360" w:lineRule="auto"/>
        <w:ind w:right="57" w:firstLine="490" w:firstLineChars="200"/>
        <w:rPr>
          <w:rFonts w:ascii="Times New Roman" w:hAnsi="Times New Roman" w:eastAsia="宋体" w:cs="Times New Roman"/>
          <w:sz w:val="24"/>
          <w:szCs w:val="24"/>
        </w:rPr>
      </w:pPr>
      <w:r>
        <w:rPr>
          <w:rFonts w:ascii="Times New Roman" w:hAnsi="Times New Roman" w:eastAsia="宋体" w:cs="Times New Roman"/>
          <w:b/>
          <w:spacing w:val="2"/>
          <w:sz w:val="24"/>
          <w:szCs w:val="24"/>
        </w:rPr>
        <w:t>测</w:t>
      </w:r>
      <w:r>
        <w:rPr>
          <w:rFonts w:ascii="Times New Roman" w:hAnsi="Times New Roman" w:eastAsia="宋体" w:cs="Times New Roman"/>
          <w:b/>
          <w:sz w:val="24"/>
          <w:szCs w:val="24"/>
        </w:rPr>
        <w:t xml:space="preserve">定法  </w:t>
      </w:r>
      <w:r>
        <w:rPr>
          <w:rFonts w:ascii="Times New Roman" w:hAnsi="Times New Roman" w:eastAsia="宋体" w:cs="Times New Roman"/>
          <w:sz w:val="24"/>
          <w:szCs w:val="24"/>
        </w:rPr>
        <w:t>分别精密吸取参照物溶液与供试品溶液各5μl，注入液相色谱仪，测定，即得。</w:t>
      </w:r>
    </w:p>
    <w:p w14:paraId="545DC7EE">
      <w:pPr>
        <w:adjustRightInd w:val="0"/>
        <w:snapToGrid w:val="0"/>
        <w:spacing w:before="13" w:line="360" w:lineRule="auto"/>
        <w:ind w:right="57"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供试品色谱中应呈现与对照药材参照物色谱</w:t>
      </w:r>
      <w:r>
        <w:rPr>
          <w:rFonts w:hint="eastAsia" w:ascii="Times New Roman" w:hAnsi="Times New Roman" w:eastAsia="宋体" w:cs="Times New Roman"/>
          <w:sz w:val="24"/>
          <w:szCs w:val="24"/>
        </w:rPr>
        <w:t>图</w:t>
      </w:r>
      <w:r>
        <w:rPr>
          <w:rFonts w:ascii="Times New Roman" w:hAnsi="Times New Roman" w:eastAsia="宋体" w:cs="Times New Roman"/>
          <w:sz w:val="24"/>
          <w:szCs w:val="24"/>
        </w:rPr>
        <w:t>中6个保留时间相对应</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特征峰，其中峰6应与</w:t>
      </w:r>
      <w:r>
        <w:rPr>
          <w:rFonts w:hint="eastAsia" w:ascii="Times New Roman" w:hAnsi="Times New Roman" w:eastAsia="宋体" w:cs="Times New Roman"/>
          <w:sz w:val="24"/>
          <w:szCs w:val="24"/>
        </w:rPr>
        <w:t>相应</w:t>
      </w:r>
      <w:r>
        <w:rPr>
          <w:rFonts w:ascii="Times New Roman" w:hAnsi="Times New Roman" w:eastAsia="宋体" w:cs="Times New Roman"/>
          <w:sz w:val="24"/>
          <w:szCs w:val="24"/>
        </w:rPr>
        <w:t>对照品参照物峰</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保留时间相对应。</w:t>
      </w:r>
      <w:r>
        <w:rPr>
          <w:rFonts w:hint="eastAsia" w:ascii="Times New Roman" w:hAnsi="Times New Roman" w:eastAsia="宋体" w:cs="Times New Roman"/>
          <w:sz w:val="24"/>
          <w:szCs w:val="24"/>
        </w:rPr>
        <w:t>峰1~</w:t>
      </w:r>
      <w:r>
        <w:rPr>
          <w:rFonts w:ascii="Times New Roman" w:hAnsi="Times New Roman" w:eastAsia="宋体" w:cs="Times New Roman"/>
          <w:sz w:val="24"/>
          <w:szCs w:val="24"/>
        </w:rPr>
        <w:t>5峰与S峰</w:t>
      </w:r>
      <w:r>
        <w:rPr>
          <w:rFonts w:hint="eastAsia" w:ascii="Times New Roman" w:hAnsi="Times New Roman" w:eastAsia="宋体" w:cs="Times New Roman"/>
          <w:sz w:val="24"/>
          <w:szCs w:val="24"/>
        </w:rPr>
        <w:t>（峰6）</w:t>
      </w:r>
      <w:r>
        <w:rPr>
          <w:rFonts w:ascii="Times New Roman" w:hAnsi="Times New Roman" w:eastAsia="宋体" w:cs="Times New Roman"/>
          <w:sz w:val="24"/>
          <w:szCs w:val="24"/>
        </w:rPr>
        <w:t>的相对保留时间</w:t>
      </w:r>
      <w:r>
        <w:rPr>
          <w:rFonts w:hint="eastAsia" w:ascii="Times New Roman" w:hAnsi="Times New Roman" w:eastAsia="宋体" w:cs="Times New Roman"/>
          <w:sz w:val="24"/>
          <w:szCs w:val="24"/>
        </w:rPr>
        <w:t>依次约</w:t>
      </w:r>
      <w:r>
        <w:rPr>
          <w:rFonts w:ascii="Times New Roman" w:hAnsi="Times New Roman" w:eastAsia="宋体" w:cs="Times New Roman"/>
          <w:sz w:val="24"/>
          <w:szCs w:val="24"/>
        </w:rPr>
        <w:t>为：0.29、0.49、0.62、0.68、0.91。</w:t>
      </w:r>
    </w:p>
    <w:p w14:paraId="2B2402A3">
      <w:pPr>
        <w:adjustRightInd w:val="0"/>
        <w:snapToGrid w:val="0"/>
        <w:spacing w:line="360" w:lineRule="auto"/>
        <w:ind w:right="3604" w:firstLine="525" w:firstLineChars="250"/>
        <w:jc w:val="center"/>
        <w:rPr>
          <w:rFonts w:ascii="Times New Roman" w:hAnsi="Times New Roman" w:eastAsia="宋体" w:cs="Times New Roman"/>
          <w:sz w:val="24"/>
          <w:szCs w:val="24"/>
        </w:rPr>
      </w:pPr>
      <w:r>
        <w:rPr>
          <w:rFonts w:ascii="Times New Roman" w:hAnsi="Times New Roman" w:eastAsia="宋体" w:cs="Times New Roman"/>
          <w:szCs w:val="24"/>
        </w:rPr>
        <w:drawing>
          <wp:inline distT="0" distB="0" distL="0" distR="0">
            <wp:extent cx="5207000" cy="2370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07000" cy="2370455"/>
                    </a:xfrm>
                    <a:prstGeom prst="rect">
                      <a:avLst/>
                    </a:prstGeom>
                    <a:noFill/>
                    <a:ln>
                      <a:noFill/>
                    </a:ln>
                    <a:effectLst/>
                  </pic:spPr>
                </pic:pic>
              </a:graphicData>
            </a:graphic>
          </wp:inline>
        </w:drawing>
      </w:r>
    </w:p>
    <w:p w14:paraId="4641D368">
      <w:pPr>
        <w:adjustRightInd w:val="0"/>
        <w:snapToGrid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对照</w:t>
      </w:r>
      <w:r>
        <w:rPr>
          <w:rFonts w:ascii="Times New Roman" w:hAnsi="Times New Roman" w:eastAsia="宋体" w:cs="Times New Roman"/>
          <w:spacing w:val="-2"/>
          <w:sz w:val="21"/>
          <w:szCs w:val="21"/>
        </w:rPr>
        <w:t>特</w:t>
      </w:r>
      <w:r>
        <w:rPr>
          <w:rFonts w:ascii="Times New Roman" w:hAnsi="Times New Roman" w:eastAsia="宋体" w:cs="Times New Roman"/>
          <w:sz w:val="21"/>
          <w:szCs w:val="21"/>
        </w:rPr>
        <w:t>征</w:t>
      </w:r>
      <w:r>
        <w:rPr>
          <w:rFonts w:ascii="Times New Roman" w:hAnsi="Times New Roman" w:eastAsia="宋体" w:cs="Times New Roman"/>
          <w:spacing w:val="-2"/>
          <w:sz w:val="21"/>
          <w:szCs w:val="21"/>
        </w:rPr>
        <w:t>图</w:t>
      </w:r>
      <w:r>
        <w:rPr>
          <w:rFonts w:ascii="Times New Roman" w:hAnsi="Times New Roman" w:eastAsia="宋体" w:cs="Times New Roman"/>
          <w:sz w:val="21"/>
          <w:szCs w:val="21"/>
        </w:rPr>
        <w:t>谱</w:t>
      </w:r>
    </w:p>
    <w:p w14:paraId="3A79896C">
      <w:pPr>
        <w:adjustRightInd w:val="0"/>
        <w:snapToGrid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峰1：原儿茶酸</w:t>
      </w:r>
      <w:r>
        <w:rPr>
          <w:rFonts w:hint="eastAsia" w:ascii="Times New Roman" w:hAnsi="Times New Roman" w:eastAsia="宋体" w:cs="Times New Roman"/>
          <w:sz w:val="21"/>
          <w:szCs w:val="21"/>
        </w:rPr>
        <w:t>；</w:t>
      </w:r>
      <w:r>
        <w:rPr>
          <w:rFonts w:ascii="Times New Roman" w:hAnsi="Times New Roman" w:eastAsia="宋体" w:cs="Times New Roman"/>
          <w:sz w:val="21"/>
          <w:szCs w:val="21"/>
        </w:rPr>
        <w:t>峰4：对羟基苯甲醛</w:t>
      </w:r>
      <w:r>
        <w:rPr>
          <w:rFonts w:hint="eastAsia" w:ascii="Times New Roman" w:hAnsi="Times New Roman" w:eastAsia="宋体" w:cs="Times New Roman"/>
          <w:sz w:val="21"/>
          <w:szCs w:val="21"/>
        </w:rPr>
        <w:t>；</w:t>
      </w:r>
      <w:r>
        <w:rPr>
          <w:rFonts w:ascii="Times New Roman" w:hAnsi="Times New Roman" w:eastAsia="宋体" w:cs="Times New Roman"/>
          <w:sz w:val="21"/>
          <w:szCs w:val="21"/>
        </w:rPr>
        <w:t>峰6（S）：4-香豆酸</w:t>
      </w:r>
    </w:p>
    <w:p w14:paraId="1C78809B">
      <w:pPr>
        <w:adjustRightInd w:val="0"/>
        <w:snapToGrid w:val="0"/>
        <w:spacing w:line="360" w:lineRule="auto"/>
        <w:ind w:firstLine="482" w:firstLineChars="200"/>
        <w:rPr>
          <w:rFonts w:ascii="Times New Roman" w:hAnsi="Times New Roman" w:eastAsia="宋体" w:cs="Times New Roman"/>
          <w:b/>
          <w:bCs/>
          <w:sz w:val="24"/>
          <w:szCs w:val="24"/>
        </w:rPr>
      </w:pPr>
      <w:r>
        <w:rPr>
          <w:rFonts w:ascii="Times New Roman" w:hAnsi="Times New Roman" w:eastAsia="宋体" w:cs="Times New Roman"/>
          <w:b/>
          <w:sz w:val="24"/>
          <w:szCs w:val="24"/>
        </w:rPr>
        <w:t>【检查】</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 xml:space="preserve"> 应符合颗粒剂项下有关的各项规定（中国药典 通则0104）。</w:t>
      </w:r>
    </w:p>
    <w:p w14:paraId="0EC3F81F">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【浸出物】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取本品适量，研细，取约3g，精密称定，精密加入乙醇100ml，照醇溶性浸出物测定法（中国药典 通则2201）项下的热浸法测定，不得少于8.0%。</w:t>
      </w:r>
    </w:p>
    <w:p w14:paraId="29FA7BFC">
      <w:pPr>
        <w:adjustRightInd w:val="0"/>
        <w:snapToGri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【含量测定】</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b/>
          <w:sz w:val="24"/>
          <w:szCs w:val="24"/>
        </w:rPr>
        <w:t xml:space="preserve"> </w:t>
      </w:r>
      <w:r>
        <w:rPr>
          <w:rFonts w:ascii="Times New Roman" w:hAnsi="Times New Roman" w:eastAsia="宋体" w:cs="Times New Roman"/>
          <w:bCs/>
          <w:sz w:val="24"/>
          <w:szCs w:val="24"/>
        </w:rPr>
        <w:t>照高效液相色谱法（中国药典 通则0512）测定。</w:t>
      </w:r>
    </w:p>
    <w:p w14:paraId="0123FF1D">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色谱条件与系统适用性试验</w:t>
      </w:r>
      <w:r>
        <w:rPr>
          <w:rFonts w:ascii="Times New Roman" w:hAnsi="Times New Roman" w:eastAsia="宋体" w:cs="Times New Roman"/>
          <w:sz w:val="24"/>
          <w:szCs w:val="24"/>
        </w:rPr>
        <w:t xml:space="preserve">  以十八烷基硅烷键合硅胶为填充剂；以乙腈-0.1%磷酸溶液（14</w:t>
      </w:r>
      <w:r>
        <w:rPr>
          <w:rFonts w:hint="eastAsia" w:ascii="宋体" w:hAnsi="宋体" w:eastAsia="宋体" w:cs="宋体"/>
          <w:sz w:val="24"/>
          <w:szCs w:val="24"/>
        </w:rPr>
        <w:t>∶</w:t>
      </w:r>
      <w:r>
        <w:rPr>
          <w:rFonts w:ascii="Times New Roman" w:hAnsi="Times New Roman" w:eastAsia="宋体" w:cs="Times New Roman"/>
          <w:sz w:val="24"/>
          <w:szCs w:val="24"/>
        </w:rPr>
        <w:t>86）为流动相；检测波长为310nm。理论板数按4-香豆酸峰计应不低于5000。</w:t>
      </w:r>
    </w:p>
    <w:p w14:paraId="5B2CED1F">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对照品溶液的制备  </w:t>
      </w:r>
      <w:r>
        <w:rPr>
          <w:rFonts w:ascii="Times New Roman" w:hAnsi="Times New Roman" w:eastAsia="宋体" w:cs="Times New Roman"/>
          <w:sz w:val="24"/>
          <w:szCs w:val="24"/>
        </w:rPr>
        <w:t>取4-香豆酸对照品适量，精密称定，加70%甲醇制成每1ml含12μg的溶液，即得。</w:t>
      </w:r>
    </w:p>
    <w:p w14:paraId="325BBB6D">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供试品溶液的制备  </w:t>
      </w:r>
      <w:r>
        <w:rPr>
          <w:rFonts w:ascii="Times New Roman" w:hAnsi="Times New Roman" w:eastAsia="宋体" w:cs="Times New Roman"/>
          <w:sz w:val="24"/>
          <w:szCs w:val="24"/>
        </w:rPr>
        <w:t>取本品适量，研细，取约0.4g，精密称定，置具塞锥形瓶中，精密加入70%甲醇25ml，密塞，称定重量，超声处理（功率1130W，频率37kHz）15分钟，放冷，再称定重量，用70%甲醇补足减失的重量，摇匀，滤过，取续滤液，即得。</w:t>
      </w:r>
    </w:p>
    <w:p w14:paraId="0ADD46E6">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测定法  </w:t>
      </w:r>
      <w:r>
        <w:rPr>
          <w:rFonts w:ascii="Times New Roman" w:hAnsi="Times New Roman" w:eastAsia="宋体" w:cs="Times New Roman"/>
          <w:sz w:val="24"/>
          <w:szCs w:val="24"/>
        </w:rPr>
        <w:t>分别精密吸取对照品溶液与供试品溶液各5μl，注入液相色谱仪，测定，即得。</w:t>
      </w:r>
    </w:p>
    <w:p w14:paraId="135ABCB7">
      <w:pPr>
        <w:adjustRightInd w:val="0"/>
        <w:snapToGri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本品每1g含4-香豆酸（C</w:t>
      </w:r>
      <w:r>
        <w:rPr>
          <w:rFonts w:ascii="Times New Roman" w:hAnsi="Times New Roman" w:eastAsia="宋体" w:cs="Times New Roman"/>
          <w:sz w:val="24"/>
          <w:szCs w:val="24"/>
          <w:vertAlign w:val="subscript"/>
        </w:rPr>
        <w:t>7</w:t>
      </w:r>
      <w:r>
        <w:rPr>
          <w:rFonts w:ascii="Times New Roman" w:hAnsi="Times New Roman" w:eastAsia="宋体" w:cs="Times New Roman"/>
          <w:sz w:val="24"/>
          <w:szCs w:val="24"/>
        </w:rPr>
        <w:t>H</w:t>
      </w:r>
      <w:r>
        <w:rPr>
          <w:rFonts w:ascii="Times New Roman" w:hAnsi="Times New Roman" w:eastAsia="宋体" w:cs="Times New Roman"/>
          <w:sz w:val="24"/>
          <w:szCs w:val="24"/>
          <w:vertAlign w:val="subscript"/>
        </w:rPr>
        <w:t>6</w:t>
      </w:r>
      <w:r>
        <w:rPr>
          <w:rFonts w:ascii="Times New Roman" w:hAnsi="Times New Roman" w:eastAsia="宋体" w:cs="Times New Roman"/>
          <w:sz w:val="24"/>
          <w:szCs w:val="24"/>
        </w:rPr>
        <w:t>O</w:t>
      </w:r>
      <w:r>
        <w:rPr>
          <w:rFonts w:ascii="Times New Roman" w:hAnsi="Times New Roman" w:eastAsia="宋体" w:cs="Times New Roman"/>
          <w:sz w:val="24"/>
          <w:szCs w:val="24"/>
          <w:vertAlign w:val="subscript"/>
        </w:rPr>
        <w:t>5</w:t>
      </w:r>
      <w:r>
        <w:rPr>
          <w:rFonts w:ascii="Times New Roman" w:hAnsi="Times New Roman" w:eastAsia="宋体" w:cs="Times New Roman"/>
          <w:sz w:val="24"/>
          <w:szCs w:val="24"/>
        </w:rPr>
        <w:t>）应为0.30～2.0mg。</w:t>
      </w:r>
    </w:p>
    <w:p w14:paraId="4D103DCA">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【规格】</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每1g配方颗粒相当于饮片9g</w:t>
      </w:r>
    </w:p>
    <w:p w14:paraId="282270DB">
      <w:pPr>
        <w:adjustRightInd w:val="0"/>
        <w:snapToGri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【贮藏】</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bookmarkStart w:id="0" w:name="_GoBack"/>
      <w:bookmarkEnd w:id="0"/>
      <w:r>
        <w:rPr>
          <w:rFonts w:ascii="Times New Roman" w:hAnsi="Times New Roman" w:eastAsia="宋体" w:cs="Times New Roman"/>
          <w:sz w:val="24"/>
          <w:szCs w:val="24"/>
        </w:rPr>
        <w:t>密封。</w:t>
      </w:r>
    </w:p>
    <w:p w14:paraId="5EF8EC15">
      <w:pPr>
        <w:adjustRightInd w:val="0"/>
        <w:snapToGrid w:val="0"/>
        <w:spacing w:line="360" w:lineRule="auto"/>
        <w:rPr>
          <w:rFonts w:ascii="Times New Roman" w:hAnsi="Times New Roman" w:eastAsia="宋体" w:cs="Times New Roman"/>
          <w:color w:val="000000"/>
          <w:sz w:val="24"/>
          <w:szCs w:val="24"/>
        </w:rPr>
      </w:pPr>
    </w:p>
    <w:p w14:paraId="74E87743">
      <w:pPr>
        <w:adjustRightInd w:val="0"/>
        <w:snapToGrid w:val="0"/>
        <w:spacing w:line="360" w:lineRule="auto"/>
        <w:rPr>
          <w:rFonts w:ascii="Times New Roman" w:hAnsi="Times New Roman" w:eastAsia="宋体" w:cs="Times New Roman"/>
          <w:color w:val="000000"/>
          <w:sz w:val="24"/>
          <w:szCs w:val="24"/>
        </w:rPr>
      </w:pPr>
    </w:p>
    <w:p w14:paraId="12D02592">
      <w:pPr>
        <w:adjustRightInd w:val="0"/>
        <w:snapToGrid w:val="0"/>
        <w:spacing w:line="360" w:lineRule="auto"/>
        <w:rPr>
          <w:rFonts w:ascii="Times New Roman" w:hAnsi="Times New Roman" w:eastAsia="宋体" w:cs="Times New Roman"/>
          <w:color w:val="000000"/>
          <w:sz w:val="24"/>
          <w:szCs w:val="24"/>
        </w:rPr>
      </w:pPr>
    </w:p>
    <w:p w14:paraId="48903749">
      <w:pPr>
        <w:adjustRightInd w:val="0"/>
        <w:snapToGrid w:val="0"/>
        <w:spacing w:line="360" w:lineRule="auto"/>
        <w:rPr>
          <w:rFonts w:ascii="Times New Roman" w:hAnsi="Times New Roman" w:eastAsia="宋体" w:cs="Times New Roman"/>
          <w:color w:val="000000"/>
          <w:sz w:val="24"/>
          <w:szCs w:val="24"/>
        </w:rPr>
      </w:pPr>
    </w:p>
    <w:p w14:paraId="13EF7849">
      <w:pPr>
        <w:adjustRightInd w:val="0"/>
        <w:snapToGrid w:val="0"/>
        <w:spacing w:line="360" w:lineRule="auto"/>
        <w:rPr>
          <w:rFonts w:ascii="Times New Roman" w:hAnsi="Times New Roman" w:eastAsia="宋体" w:cs="Times New Roman"/>
          <w:szCs w:val="24"/>
        </w:rPr>
      </w:pPr>
    </w:p>
    <w:p w14:paraId="00579AA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34B4C">
    <w:pPr>
      <w:pBdr>
        <w:bottom w:val="single" w:color="auto" w:sz="6" w:space="1"/>
      </w:pBdr>
      <w:tabs>
        <w:tab w:val="center" w:pos="4153"/>
        <w:tab w:val="right" w:pos="8306"/>
      </w:tabs>
      <w:snapToGrid w:val="0"/>
      <w:jc w:val="center"/>
      <w:rPr>
        <w:rFonts w:ascii="Times New Roman" w:hAnsi="Times New Roman" w:eastAsia="宋体" w:cs="黑体"/>
        <w:sz w:val="18"/>
      </w:rPr>
    </w:pPr>
    <w:r>
      <w:rPr>
        <w:rFonts w:ascii="Times New Roman" w:hAnsi="Times New Roman" w:eastAsia="宋体" w:cs="黑体"/>
        <w:sz w:val="18"/>
      </w:rPr>
      <w:pict>
        <v:shape id="PowerPlusWaterMarkObject65224" o:spid="_x0000_s2050" o:spt="136" type="#_x0000_t136" style="position:absolute;left:0pt;height:39.05pt;width:548.2pt;mso-position-horizontal:center;mso-position-horizontal-relative:margin;mso-position-vertical:center;mso-position-vertical-relative:margin;rotation:-2949120f;z-index:-251657216;mso-width-relative:page;mso-height-relative:page;" fillcolor="#C0C0C0" filled="t" stroked="f" coordsize="21600,21600">
          <v:path/>
          <v:fill on="t" opacity="32768f" focussize="0,0"/>
          <v:stroke on="f"/>
          <v:imagedata o:title=""/>
          <o:lock v:ext="edit" aspectratio="t"/>
          <v:textpath on="t" fitshape="t" fitpath="t" trim="t" xscale="f" string="江苏省中药配方颗粒质量标准公示稿" style="font-family:宋体;font-size:36pt;v-text-align:center;"/>
        </v:shape>
      </w:pict>
    </w:r>
    <w:r>
      <w:rPr>
        <w:rFonts w:hint="eastAsia" w:ascii="Calibri" w:hAnsi="Calibri" w:eastAsia="宋体" w:cs="Times New Roman"/>
        <w:sz w:val="28"/>
        <w:szCs w:val="28"/>
      </w:rPr>
      <w:t>江苏省中药配方颗粒质量标准公示稿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AB4"/>
    <w:rsid w:val="00016287"/>
    <w:rsid w:val="00036F75"/>
    <w:rsid w:val="000976FD"/>
    <w:rsid w:val="000A2071"/>
    <w:rsid w:val="000B4D9A"/>
    <w:rsid w:val="000C1FF8"/>
    <w:rsid w:val="000C5730"/>
    <w:rsid w:val="00107655"/>
    <w:rsid w:val="00107F9E"/>
    <w:rsid w:val="00115B57"/>
    <w:rsid w:val="001326E7"/>
    <w:rsid w:val="001B76FE"/>
    <w:rsid w:val="0021093E"/>
    <w:rsid w:val="00230802"/>
    <w:rsid w:val="002468DA"/>
    <w:rsid w:val="00276645"/>
    <w:rsid w:val="00287B21"/>
    <w:rsid w:val="00291B5F"/>
    <w:rsid w:val="002E46BE"/>
    <w:rsid w:val="00322D60"/>
    <w:rsid w:val="00392709"/>
    <w:rsid w:val="00410E00"/>
    <w:rsid w:val="00456B21"/>
    <w:rsid w:val="004B407E"/>
    <w:rsid w:val="004B4934"/>
    <w:rsid w:val="004D2025"/>
    <w:rsid w:val="004D2149"/>
    <w:rsid w:val="00500DCD"/>
    <w:rsid w:val="005A52D8"/>
    <w:rsid w:val="005E4699"/>
    <w:rsid w:val="005F5EB1"/>
    <w:rsid w:val="006064E5"/>
    <w:rsid w:val="00610AB1"/>
    <w:rsid w:val="0064611C"/>
    <w:rsid w:val="006740D9"/>
    <w:rsid w:val="0068484E"/>
    <w:rsid w:val="00706C50"/>
    <w:rsid w:val="0072226D"/>
    <w:rsid w:val="00771224"/>
    <w:rsid w:val="007A5E94"/>
    <w:rsid w:val="007C039A"/>
    <w:rsid w:val="008344FE"/>
    <w:rsid w:val="00957AB4"/>
    <w:rsid w:val="009B4D62"/>
    <w:rsid w:val="009D130D"/>
    <w:rsid w:val="009E42F0"/>
    <w:rsid w:val="009F41FA"/>
    <w:rsid w:val="00A16BBE"/>
    <w:rsid w:val="00A3171C"/>
    <w:rsid w:val="00A80882"/>
    <w:rsid w:val="00A96167"/>
    <w:rsid w:val="00AE1CAC"/>
    <w:rsid w:val="00B56B53"/>
    <w:rsid w:val="00BC7843"/>
    <w:rsid w:val="00BD7321"/>
    <w:rsid w:val="00BE0D03"/>
    <w:rsid w:val="00C41DC3"/>
    <w:rsid w:val="00C94330"/>
    <w:rsid w:val="00CD44FB"/>
    <w:rsid w:val="00CD5340"/>
    <w:rsid w:val="00CE0860"/>
    <w:rsid w:val="00CE300E"/>
    <w:rsid w:val="00D40F0C"/>
    <w:rsid w:val="00E669EF"/>
    <w:rsid w:val="00ED5BAD"/>
    <w:rsid w:val="00EE5961"/>
    <w:rsid w:val="00F2390E"/>
    <w:rsid w:val="00FE63DF"/>
    <w:rsid w:val="6A154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99"/>
    <w:pPr>
      <w:keepNext/>
      <w:keepLines/>
      <w:spacing w:before="100" w:beforeLines="100" w:after="100" w:afterLines="100" w:line="360" w:lineRule="auto"/>
      <w:outlineLvl w:val="0"/>
    </w:pPr>
    <w:rPr>
      <w:b/>
      <w:bCs/>
      <w:kern w:val="44"/>
      <w:sz w:val="28"/>
      <w:szCs w:val="44"/>
    </w:rPr>
  </w:style>
  <w:style w:type="paragraph" w:styleId="3">
    <w:name w:val="heading 2"/>
    <w:basedOn w:val="1"/>
    <w:next w:val="1"/>
    <w:link w:val="13"/>
    <w:autoRedefine/>
    <w:unhideWhenUsed/>
    <w:qFormat/>
    <w:uiPriority w:val="99"/>
    <w:pPr>
      <w:keepNext/>
      <w:keepLines/>
      <w:spacing w:line="360" w:lineRule="auto"/>
      <w:outlineLvl w:val="1"/>
    </w:pPr>
    <w:rPr>
      <w:b/>
      <w:bCs/>
      <w:szCs w:val="24"/>
    </w:rPr>
  </w:style>
  <w:style w:type="paragraph" w:styleId="4">
    <w:name w:val="heading 3"/>
    <w:basedOn w:val="1"/>
    <w:next w:val="1"/>
    <w:link w:val="14"/>
    <w:autoRedefine/>
    <w:unhideWhenUsed/>
    <w:qFormat/>
    <w:uiPriority w:val="99"/>
    <w:pPr>
      <w:keepNext/>
      <w:keepLines/>
      <w:spacing w:line="360" w:lineRule="auto"/>
      <w:outlineLvl w:val="2"/>
    </w:pPr>
    <w:rPr>
      <w:b/>
      <w:bCs/>
      <w:szCs w:val="32"/>
    </w:rPr>
  </w:style>
  <w:style w:type="paragraph" w:styleId="5">
    <w:name w:val="heading 4"/>
    <w:basedOn w:val="1"/>
    <w:next w:val="1"/>
    <w:link w:val="15"/>
    <w:autoRedefine/>
    <w:unhideWhenUsed/>
    <w:qFormat/>
    <w:uiPriority w:val="99"/>
    <w:pPr>
      <w:keepNext/>
      <w:keepLines/>
      <w:spacing w:line="360" w:lineRule="auto"/>
      <w:outlineLvl w:val="3"/>
    </w:pPr>
    <w:rPr>
      <w:rFonts w:cstheme="majorBidi"/>
      <w:b/>
      <w:bCs/>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9"/>
    <w:rPr>
      <w:b/>
      <w:bCs/>
      <w:kern w:val="44"/>
      <w:sz w:val="28"/>
      <w:szCs w:val="44"/>
    </w:rPr>
  </w:style>
  <w:style w:type="character" w:customStyle="1" w:styleId="13">
    <w:name w:val="标题 2 字符"/>
    <w:basedOn w:val="11"/>
    <w:link w:val="3"/>
    <w:qFormat/>
    <w:uiPriority w:val="99"/>
    <w:rPr>
      <w:b/>
      <w:bCs/>
      <w:szCs w:val="24"/>
    </w:rPr>
  </w:style>
  <w:style w:type="character" w:customStyle="1" w:styleId="14">
    <w:name w:val="标题 3 字符"/>
    <w:basedOn w:val="11"/>
    <w:link w:val="4"/>
    <w:qFormat/>
    <w:uiPriority w:val="99"/>
    <w:rPr>
      <w:b/>
      <w:bCs/>
      <w:szCs w:val="32"/>
    </w:rPr>
  </w:style>
  <w:style w:type="character" w:customStyle="1" w:styleId="15">
    <w:name w:val="标题 4 字符"/>
    <w:basedOn w:val="11"/>
    <w:link w:val="5"/>
    <w:qFormat/>
    <w:uiPriority w:val="99"/>
    <w:rPr>
      <w:rFonts w:cstheme="majorBidi"/>
      <w:b/>
      <w:bCs/>
      <w:szCs w:val="28"/>
    </w:rPr>
  </w:style>
  <w:style w:type="character" w:customStyle="1" w:styleId="16">
    <w:name w:val="页眉 字符"/>
    <w:basedOn w:val="11"/>
    <w:link w:val="8"/>
    <w:qFormat/>
    <w:uiPriority w:val="99"/>
    <w:rPr>
      <w:sz w:val="18"/>
      <w:szCs w:val="18"/>
    </w:rPr>
  </w:style>
  <w:style w:type="character" w:customStyle="1" w:styleId="17">
    <w:name w:val="页脚 字符"/>
    <w:basedOn w:val="11"/>
    <w:link w:val="7"/>
    <w:qFormat/>
    <w:uiPriority w:val="99"/>
    <w:rPr>
      <w:sz w:val="18"/>
      <w:szCs w:val="18"/>
    </w:rPr>
  </w:style>
  <w:style w:type="table" w:customStyle="1" w:styleId="18">
    <w:name w:val="三线表1"/>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19">
    <w:name w:val="网格型1"/>
    <w:basedOn w:val="9"/>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0">
    <w:name w:val="批注框文本 字符"/>
    <w:basedOn w:val="11"/>
    <w:link w:val="6"/>
    <w:semiHidden/>
    <w:qFormat/>
    <w:uiPriority w:val="99"/>
    <w:rPr>
      <w:rFonts w:asciiTheme="minorHAnsi" w:hAnsiTheme="minorHAnsi" w:eastAsiaTheme="minorEastAsia" w:cstheme="minorBidi"/>
      <w:sz w:val="18"/>
      <w:szCs w:val="18"/>
    </w:rPr>
  </w:style>
  <w:style w:type="table" w:customStyle="1" w:styleId="21">
    <w:name w:val="三线表"/>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22">
    <w:name w:val="样式2"/>
    <w:basedOn w:val="9"/>
    <w:qFormat/>
    <w:uiPriority w:val="99"/>
    <w:pPr>
      <w:jc w:val="center"/>
    </w:pPr>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bottom w:val="single" w:color="auto" w:sz="8" w:space="0"/>
        </w:tcBorders>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2A1B0-1622-4B1A-83FA-19F53FADD2F7}">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1313</Words>
  <Characters>1536</Characters>
  <Lines>11</Lines>
  <Paragraphs>3</Paragraphs>
  <TotalTime>367</TotalTime>
  <ScaleCrop>false</ScaleCrop>
  <LinksUpToDate>false</LinksUpToDate>
  <CharactersWithSpaces>1571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2022-10-28T08:09:00Z</dcterms:created>
  <dc:creator>顾珂镭</dc:creator>
  <cp:lastModifiedBy>李小蜗</cp:lastModifiedBy>
  <dcterms:modified xsi:type="dcterms:W3CDTF">2025-01-07T09:47:13Z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eyJoZGlkIjoiMmI2MzE1NTQ0YjVhODQxYzZkZTNmMjdmMTczZTQ5ODMiLCJ1c2VySWQiOiIzMDE1NzkzNzYifQ==</vt:lpwstr>
  </property>
  <property fmtid="{D5CDD505-2E9C-101B-9397-08002B2CF9AE}" pid="3" name="KSOProductBuildVer">
    <vt:lpwstr>2052-12.1.0.19770</vt:lpwstr>
  </property>
  <property fmtid="{D5CDD505-2E9C-101B-9397-08002B2CF9AE}" pid="4" name="ICV">
    <vt:lpwstr>5BACBF848F6C4ADEB82D87EF0F8E8854_13</vt:lpwstr>
  </property>
</Properties>
</file>