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CAFF2">
      <w:pPr>
        <w:keepNext w:val="0"/>
        <w:keepLines w:val="0"/>
        <w:pageBreakBefore w:val="0"/>
        <w:kinsoku/>
        <w:wordWrap/>
        <w:overflowPunct/>
        <w:topLinePunct w:val="0"/>
        <w:autoSpaceDE/>
        <w:bidi w:val="0"/>
        <w:adjustRightInd w:val="0"/>
        <w:snapToGrid w:val="0"/>
        <w:spacing w:line="590" w:lineRule="exact"/>
        <w:jc w:val="center"/>
        <w:textAlignment w:val="auto"/>
        <w:rPr>
          <w:rFonts w:hint="default" w:ascii="Nimbus Roman" w:hAnsi="Nimbus Roman" w:eastAsia="方正小标宋_GBK" w:cs="Nimbus Roman"/>
          <w:w w:val="98"/>
          <w:kern w:val="0"/>
          <w:sz w:val="44"/>
          <w:szCs w:val="44"/>
        </w:rPr>
      </w:pPr>
    </w:p>
    <w:p w14:paraId="674D411F">
      <w:pPr>
        <w:keepNext w:val="0"/>
        <w:keepLines w:val="0"/>
        <w:pageBreakBefore w:val="0"/>
        <w:kinsoku/>
        <w:wordWrap/>
        <w:overflowPunct/>
        <w:topLinePunct w:val="0"/>
        <w:autoSpaceDE/>
        <w:bidi w:val="0"/>
        <w:adjustRightInd w:val="0"/>
        <w:snapToGrid w:val="0"/>
        <w:spacing w:line="590" w:lineRule="exact"/>
        <w:jc w:val="center"/>
        <w:textAlignment w:val="auto"/>
        <w:rPr>
          <w:rFonts w:hint="eastAsia" w:ascii="Nimbus Roman" w:hAnsi="Nimbus Roman" w:eastAsia="方正小标宋_GBK" w:cs="Nimbus Roman"/>
          <w:sz w:val="44"/>
          <w:szCs w:val="44"/>
          <w:lang w:eastAsia="zh-CN"/>
        </w:rPr>
      </w:pPr>
      <w:bookmarkStart w:id="5" w:name="_GoBack"/>
      <w:r>
        <w:rPr>
          <w:rFonts w:hint="eastAsia" w:ascii="Nimbus Roman" w:hAnsi="Nimbus Roman" w:eastAsia="方正小标宋_GBK" w:cs="Nimbus Roman"/>
          <w:w w:val="98"/>
          <w:kern w:val="0"/>
          <w:sz w:val="44"/>
          <w:szCs w:val="44"/>
        </w:rPr>
        <w:t>江苏省全国药品监管系统先进集体和先进个人拟正式推荐对象先进事迹</w:t>
      </w:r>
    </w:p>
    <w:bookmarkEnd w:id="5"/>
    <w:p w14:paraId="046E0978">
      <w:pPr>
        <w:keepNext w:val="0"/>
        <w:keepLines w:val="0"/>
        <w:pageBreakBefore w:val="0"/>
        <w:kinsoku/>
        <w:wordWrap/>
        <w:overflowPunct/>
        <w:topLinePunct w:val="0"/>
        <w:autoSpaceDE/>
        <w:bidi w:val="0"/>
        <w:spacing w:line="590" w:lineRule="exact"/>
        <w:textAlignment w:val="auto"/>
        <w:rPr>
          <w:rFonts w:hint="default" w:ascii="Nimbus Roman" w:hAnsi="Nimbus Roman" w:eastAsia="方正小标宋_GBK" w:cs="Nimbus Roman"/>
          <w:sz w:val="44"/>
          <w:szCs w:val="44"/>
        </w:rPr>
      </w:pPr>
    </w:p>
    <w:p w14:paraId="13B932D8">
      <w:pPr>
        <w:keepNext w:val="0"/>
        <w:keepLines w:val="0"/>
        <w:pageBreakBefore w:val="0"/>
        <w:numPr>
          <w:ilvl w:val="0"/>
          <w:numId w:val="1"/>
        </w:numPr>
        <w:kinsoku/>
        <w:wordWrap/>
        <w:overflowPunct/>
        <w:topLinePunct w:val="0"/>
        <w:autoSpaceDE/>
        <w:bidi w:val="0"/>
        <w:spacing w:line="590" w:lineRule="exact"/>
        <w:ind w:firstLine="640" w:firstLineChars="200"/>
        <w:textAlignment w:val="auto"/>
        <w:rPr>
          <w:rFonts w:hint="eastAsia" w:ascii="Nimbus Roman" w:hAnsi="Nimbus Roman" w:eastAsia="方正黑体_GBK" w:cs="Nimbus Roman"/>
          <w:bCs/>
          <w:sz w:val="32"/>
          <w:szCs w:val="32"/>
          <w:lang w:eastAsia="zh-CN"/>
        </w:rPr>
      </w:pPr>
      <w:r>
        <w:rPr>
          <w:rFonts w:hint="eastAsia" w:ascii="Nimbus Roman" w:hAnsi="Nimbus Roman" w:eastAsia="方正黑体_GBK" w:cs="Nimbus Roman"/>
          <w:bCs/>
          <w:sz w:val="32"/>
          <w:szCs w:val="32"/>
          <w:lang w:eastAsia="zh-CN"/>
        </w:rPr>
        <w:t>先进集体（</w:t>
      </w:r>
      <w:r>
        <w:rPr>
          <w:rFonts w:hint="eastAsia" w:ascii="Times New Roman" w:hAnsi="Times New Roman" w:eastAsia="方正仿宋_GBK" w:cs="Times New Roman"/>
          <w:kern w:val="0"/>
          <w:sz w:val="32"/>
          <w:szCs w:val="32"/>
          <w:lang w:val="en-US" w:eastAsia="zh-CN"/>
        </w:rPr>
        <w:t>2</w:t>
      </w:r>
      <w:r>
        <w:rPr>
          <w:rFonts w:hint="eastAsia" w:ascii="Nimbus Roman" w:hAnsi="Nimbus Roman" w:eastAsia="方正黑体_GBK" w:cs="Nimbus Roman"/>
          <w:bCs/>
          <w:sz w:val="32"/>
          <w:szCs w:val="32"/>
          <w:lang w:val="en-US" w:eastAsia="zh-CN"/>
        </w:rPr>
        <w:t>个</w:t>
      </w:r>
      <w:r>
        <w:rPr>
          <w:rFonts w:hint="eastAsia" w:ascii="Nimbus Roman" w:hAnsi="Nimbus Roman" w:eastAsia="方正黑体_GBK" w:cs="Nimbus Roman"/>
          <w:bCs/>
          <w:sz w:val="32"/>
          <w:szCs w:val="32"/>
          <w:lang w:eastAsia="zh-CN"/>
        </w:rPr>
        <w:t>）</w:t>
      </w:r>
    </w:p>
    <w:p w14:paraId="28223D70">
      <w:pPr>
        <w:keepNext w:val="0"/>
        <w:keepLines w:val="0"/>
        <w:pageBreakBefore w:val="0"/>
        <w:numPr>
          <w:ilvl w:val="0"/>
          <w:numId w:val="2"/>
        </w:numPr>
        <w:kinsoku/>
        <w:wordWrap/>
        <w:overflowPunct/>
        <w:topLinePunct w:val="0"/>
        <w:autoSpaceDE/>
        <w:bidi w:val="0"/>
        <w:adjustRightInd w:val="0"/>
        <w:snapToGrid w:val="0"/>
        <w:spacing w:line="590" w:lineRule="exact"/>
        <w:ind w:firstLine="640" w:firstLineChars="200"/>
        <w:textAlignment w:val="auto"/>
        <w:rPr>
          <w:rFonts w:hint="eastAsia" w:ascii="Nimbus Roman" w:hAnsi="Nimbus Roman" w:eastAsia="方正楷体_GBK" w:cs="Nimbus Roman"/>
          <w:sz w:val="32"/>
          <w:szCs w:val="32"/>
        </w:rPr>
      </w:pPr>
      <w:r>
        <w:rPr>
          <w:rFonts w:hint="eastAsia" w:ascii="Nimbus Roman" w:hAnsi="Nimbus Roman" w:eastAsia="方正楷体_GBK" w:cs="Nimbus Roman"/>
          <w:sz w:val="32"/>
          <w:szCs w:val="32"/>
        </w:rPr>
        <w:t>江苏省药品监督检验研究院</w:t>
      </w:r>
    </w:p>
    <w:p w14:paraId="5FF11085">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江苏省药品监督检验研究院，坚持以习近平新时代中国特色社会主义思想为指引，践行“专注药品安全，守望公众健康”的使命，全力打造国内一流药品检验机构，在服务药品监管、促进产业发展、保障公众用药安全等方面取得显著成效。</w:t>
      </w:r>
    </w:p>
    <w:p w14:paraId="2BA132F2">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一是</w:t>
      </w:r>
      <w:r>
        <w:rPr>
          <w:rFonts w:hint="eastAsia" w:ascii="Nimbus Roman" w:hAnsi="Nimbus Roman" w:eastAsia="方正仿宋_GBK" w:cs="Nimbus Roman"/>
          <w:b/>
          <w:bCs/>
          <w:kern w:val="0"/>
          <w:sz w:val="32"/>
          <w:szCs w:val="32"/>
        </w:rPr>
        <w:t>举旗铸魂，政治引领定航向</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充分发挥领导干部示范表率和党委理论学习中心组领学促学作用，严格落实“第一议题”制度，及时跟进学习习近平总书记最新重要讲话精神，深入贯彻习近平总书记关于药品监管工作的系列重要指示批示精神，认真落实党中央、省委及省局党组重大决策部署，以高质量党建引领各项工作高质量发展。持续深化党建品牌建设，生物技术药理检验室党支部被省级机关工委评为“服务高质量发展”先锋队党支部；中药化妆品检验室党支部和检验技术研究室党支部倾力打造“健康美丽伴君行”、“药检卫士，科研先锋”等特色品牌</w:t>
      </w:r>
      <w:r>
        <w:rPr>
          <w:rFonts w:hint="default" w:ascii="Nimbus Roman" w:hAnsi="Nimbus Roman" w:eastAsia="方正仿宋_GBK" w:cs="Nimbus Roman"/>
          <w:kern w:val="0"/>
          <w:sz w:val="32"/>
          <w:szCs w:val="32"/>
        </w:rPr>
        <w:t>，实现党建与业务同频共振</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近两年有四个党支部被评为</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四强党支部</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，其中化学药品检验二室党支部被省药监局评为</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先进基层党组织</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w:t>
      </w:r>
    </w:p>
    <w:p w14:paraId="46B0D0A4">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二是</w:t>
      </w:r>
      <w:r>
        <w:rPr>
          <w:rFonts w:hint="eastAsia" w:ascii="Nimbus Roman" w:hAnsi="Nimbus Roman" w:eastAsia="方正仿宋_GBK" w:cs="Nimbus Roman"/>
          <w:b/>
          <w:bCs/>
          <w:kern w:val="0"/>
          <w:sz w:val="32"/>
          <w:szCs w:val="32"/>
        </w:rPr>
        <w:t>提效强基，能力筑牢促发展</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聚焦监管需求和群众关切，持续筑牢检验能力根基。近五年完成各类检验约</w:t>
      </w:r>
      <w:r>
        <w:rPr>
          <w:rFonts w:hint="eastAsia" w:ascii="Times New Roman" w:hAnsi="Times New Roman" w:eastAsia="方正仿宋_GBK" w:cs="Times New Roman"/>
          <w:kern w:val="0"/>
          <w:sz w:val="32"/>
          <w:szCs w:val="32"/>
          <w:lang w:val="en-US" w:eastAsia="zh-CN"/>
        </w:rPr>
        <w:t>6</w:t>
      </w:r>
      <w:r>
        <w:rPr>
          <w:rFonts w:hint="eastAsia" w:ascii="Nimbus Roman" w:hAnsi="Nimbus Roman" w:eastAsia="方正仿宋_GBK" w:cs="Nimbus Roman"/>
          <w:kern w:val="0"/>
          <w:sz w:val="32"/>
          <w:szCs w:val="32"/>
        </w:rPr>
        <w:t>万批次，在药品注册检验数量连续多年位列全国第一并持续增长形势下，多措并举，检验平均周期较法定周期缩短</w:t>
      </w:r>
      <w:r>
        <w:rPr>
          <w:rFonts w:hint="eastAsia" w:ascii="Times New Roman" w:hAnsi="Times New Roman" w:eastAsia="方正仿宋_GBK" w:cs="Times New Roman"/>
          <w:kern w:val="0"/>
          <w:sz w:val="32"/>
          <w:szCs w:val="32"/>
          <w:lang w:val="en-US" w:eastAsia="zh-CN"/>
        </w:rPr>
        <w:t>30</w:t>
      </w:r>
      <w:r>
        <w:rPr>
          <w:rFonts w:hint="eastAsia" w:ascii="Nimbus Roman" w:hAnsi="Nimbus Roman" w:eastAsia="方正仿宋_GBK" w:cs="Nimbus Roman"/>
          <w:kern w:val="0"/>
          <w:sz w:val="32"/>
          <w:szCs w:val="32"/>
        </w:rPr>
        <w:t>天，加快了药品上市进程。稳步推进疫苗等生物制品批签发能力建设，获批国家发改委疫苗等生物制品批签能力提升建设项目，已开展省产</w:t>
      </w:r>
      <w:r>
        <w:rPr>
          <w:rFonts w:hint="eastAsia" w:ascii="Times New Roman" w:hAnsi="Times New Roman" w:eastAsia="方正仿宋_GBK" w:cs="Times New Roman"/>
          <w:kern w:val="0"/>
          <w:sz w:val="32"/>
          <w:szCs w:val="32"/>
          <w:lang w:val="en-US" w:eastAsia="zh-CN"/>
        </w:rPr>
        <w:t>3</w:t>
      </w:r>
      <w:r>
        <w:rPr>
          <w:rFonts w:hint="eastAsia" w:ascii="Nimbus Roman" w:hAnsi="Nimbus Roman" w:eastAsia="方正仿宋_GBK" w:cs="Nimbus Roman"/>
          <w:kern w:val="0"/>
          <w:sz w:val="32"/>
          <w:szCs w:val="32"/>
        </w:rPr>
        <w:t>种疫苗</w:t>
      </w:r>
      <w:r>
        <w:rPr>
          <w:rFonts w:hint="eastAsia" w:ascii="Times New Roman" w:hAnsi="Times New Roman" w:eastAsia="方正仿宋_GBK" w:cs="Times New Roman"/>
          <w:kern w:val="0"/>
          <w:sz w:val="32"/>
          <w:szCs w:val="32"/>
          <w:lang w:val="en-US" w:eastAsia="zh-CN"/>
        </w:rPr>
        <w:t>148</w:t>
      </w:r>
      <w:r>
        <w:rPr>
          <w:rFonts w:hint="eastAsia" w:ascii="Nimbus Roman" w:hAnsi="Nimbus Roman" w:eastAsia="方正仿宋_GBK" w:cs="Nimbus Roman"/>
          <w:kern w:val="0"/>
          <w:sz w:val="32"/>
          <w:szCs w:val="32"/>
        </w:rPr>
        <w:t>批次产品的疫苗批签发工作。作为</w:t>
      </w:r>
      <w:r>
        <w:rPr>
          <w:rFonts w:hint="eastAsia" w:ascii="Times New Roman" w:hAnsi="Times New Roman" w:eastAsia="方正仿宋_GBK" w:cs="Times New Roman"/>
          <w:kern w:val="0"/>
          <w:sz w:val="32"/>
          <w:szCs w:val="32"/>
          <w:lang w:val="en-US" w:eastAsia="zh-CN"/>
        </w:rPr>
        <w:t>CNAS</w:t>
      </w:r>
      <w:r>
        <w:rPr>
          <w:rFonts w:hint="eastAsia" w:ascii="Nimbus Roman" w:hAnsi="Nimbus Roman" w:eastAsia="方正仿宋_GBK" w:cs="Nimbus Roman"/>
          <w:kern w:val="0"/>
          <w:sz w:val="32"/>
          <w:szCs w:val="32"/>
        </w:rPr>
        <w:t>认可的能力验证提供者</w:t>
      </w:r>
      <w:r>
        <w:rPr>
          <w:rFonts w:hint="eastAsia" w:ascii="Nimbus Roman" w:hAnsi="Nimbus Roman" w:eastAsia="方正仿宋_GBK" w:cs="Nimbus Roman"/>
          <w:kern w:val="0"/>
          <w:sz w:val="32"/>
          <w:szCs w:val="32"/>
          <w:lang w:eastAsia="zh-CN"/>
        </w:rPr>
        <w:t>，</w:t>
      </w:r>
      <w:r>
        <w:rPr>
          <w:rFonts w:hint="eastAsia" w:ascii="Nimbus Roman" w:hAnsi="Nimbus Roman" w:eastAsia="方正仿宋_GBK" w:cs="Nimbus Roman"/>
          <w:kern w:val="0"/>
          <w:sz w:val="32"/>
          <w:szCs w:val="32"/>
        </w:rPr>
        <w:t xml:space="preserve"> </w:t>
      </w:r>
      <w:r>
        <w:rPr>
          <w:rFonts w:hint="eastAsia" w:ascii="Times New Roman" w:hAnsi="Times New Roman" w:eastAsia="方正仿宋_GBK" w:cs="Times New Roman"/>
          <w:kern w:val="0"/>
          <w:sz w:val="32"/>
          <w:szCs w:val="32"/>
          <w:lang w:val="en-US" w:eastAsia="zh-CN"/>
        </w:rPr>
        <w:t>2023-2025</w:t>
      </w:r>
      <w:r>
        <w:rPr>
          <w:rFonts w:hint="eastAsia" w:ascii="Nimbus Roman" w:hAnsi="Nimbus Roman" w:eastAsia="方正仿宋_GBK" w:cs="Nimbus Roman"/>
          <w:kern w:val="0"/>
          <w:sz w:val="32"/>
          <w:szCs w:val="32"/>
        </w:rPr>
        <w:t>年开展了六项药品检验检测能力验证，累计</w:t>
      </w:r>
      <w:r>
        <w:rPr>
          <w:rFonts w:hint="eastAsia" w:ascii="Times New Roman" w:hAnsi="Times New Roman" w:eastAsia="方正仿宋_GBK" w:cs="Times New Roman"/>
          <w:kern w:val="0"/>
          <w:sz w:val="32"/>
          <w:szCs w:val="32"/>
          <w:lang w:val="en-US" w:eastAsia="zh-CN"/>
        </w:rPr>
        <w:t>1163</w:t>
      </w:r>
      <w:r>
        <w:rPr>
          <w:rFonts w:hint="eastAsia" w:ascii="Nimbus Roman" w:hAnsi="Nimbus Roman" w:eastAsia="方正仿宋_GBK" w:cs="Nimbus Roman"/>
          <w:kern w:val="0"/>
          <w:sz w:val="32"/>
          <w:szCs w:val="32"/>
        </w:rPr>
        <w:t>家次企业参与，帮扶</w:t>
      </w:r>
      <w:r>
        <w:rPr>
          <w:rFonts w:hint="eastAsia" w:ascii="Times New Roman" w:hAnsi="Times New Roman" w:eastAsia="方正仿宋_GBK" w:cs="Times New Roman"/>
          <w:kern w:val="0"/>
          <w:sz w:val="32"/>
          <w:szCs w:val="32"/>
          <w:lang w:val="en-US" w:eastAsia="zh-CN"/>
        </w:rPr>
        <w:t>113</w:t>
      </w:r>
      <w:r>
        <w:rPr>
          <w:rFonts w:hint="eastAsia" w:ascii="Nimbus Roman" w:hAnsi="Nimbus Roman" w:eastAsia="方正仿宋_GBK" w:cs="Nimbus Roman"/>
          <w:kern w:val="0"/>
          <w:sz w:val="32"/>
          <w:szCs w:val="32"/>
        </w:rPr>
        <w:t>家次企业通过整改实现能力提升</w:t>
      </w:r>
      <w:r>
        <w:rPr>
          <w:rFonts w:hint="eastAsia" w:ascii="Times New Roman" w:hAnsi="Times New Roman" w:eastAsia="方正仿宋_GBK" w:cs="Times New Roman"/>
          <w:kern w:val="0"/>
          <w:sz w:val="32"/>
          <w:szCs w:val="32"/>
          <w:lang w:val="en-US" w:eastAsia="zh-CN"/>
        </w:rPr>
        <w:t>；2026</w:t>
      </w:r>
      <w:r>
        <w:rPr>
          <w:rFonts w:hint="eastAsia" w:ascii="Nimbus Roman" w:hAnsi="Nimbus Roman" w:eastAsia="方正仿宋_GBK" w:cs="Nimbus Roman"/>
          <w:kern w:val="0"/>
          <w:sz w:val="32"/>
          <w:szCs w:val="32"/>
        </w:rPr>
        <w:t>年将能力验证拓展至中药领域，组织开展三项能力验证计划，分别吸引</w:t>
      </w:r>
      <w:r>
        <w:rPr>
          <w:rFonts w:hint="eastAsia" w:ascii="Times New Roman" w:hAnsi="Times New Roman" w:eastAsia="方正仿宋_GBK" w:cs="Times New Roman"/>
          <w:kern w:val="0"/>
          <w:sz w:val="32"/>
          <w:szCs w:val="32"/>
          <w:lang w:val="en-US" w:eastAsia="zh-CN"/>
        </w:rPr>
        <w:t>109、359、272</w:t>
      </w:r>
      <w:r>
        <w:rPr>
          <w:rFonts w:hint="eastAsia" w:ascii="Nimbus Roman" w:hAnsi="Nimbus Roman" w:eastAsia="方正仿宋_GBK" w:cs="Nimbus Roman"/>
          <w:kern w:val="0"/>
          <w:sz w:val="32"/>
          <w:szCs w:val="32"/>
        </w:rPr>
        <w:t>家实验室报名参加。主动靠前服务，</w:t>
      </w:r>
      <w:r>
        <w:rPr>
          <w:rFonts w:hint="eastAsia"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年以来累计开展“面对面”服务</w:t>
      </w:r>
      <w:r>
        <w:rPr>
          <w:rFonts w:hint="eastAsia" w:ascii="Times New Roman" w:hAnsi="Times New Roman" w:eastAsia="方正仿宋_GBK" w:cs="Times New Roman"/>
          <w:kern w:val="0"/>
          <w:sz w:val="32"/>
          <w:szCs w:val="32"/>
          <w:lang w:val="en-US" w:eastAsia="zh-CN"/>
        </w:rPr>
        <w:t>61</w:t>
      </w:r>
      <w:r>
        <w:rPr>
          <w:rFonts w:hint="eastAsia" w:ascii="Nimbus Roman" w:hAnsi="Nimbus Roman" w:eastAsia="方正仿宋_GBK" w:cs="Nimbus Roman"/>
          <w:kern w:val="0"/>
          <w:sz w:val="32"/>
          <w:szCs w:val="32"/>
        </w:rPr>
        <w:t>次，为江苏医药企业在产品开发、标准研究、质量控制等关键技术方面提供指导。</w:t>
      </w:r>
      <w:bookmarkStart w:id="0" w:name="OLE_LINK1"/>
      <w:bookmarkStart w:id="1" w:name="OLE_LINK2"/>
      <w:r>
        <w:rPr>
          <w:rFonts w:hint="eastAsia" w:ascii="Nimbus Roman" w:hAnsi="Nimbus Roman" w:eastAsia="方正仿宋_GBK" w:cs="Nimbus Roman"/>
          <w:kern w:val="0"/>
          <w:sz w:val="32"/>
          <w:szCs w:val="32"/>
        </w:rPr>
        <w:t>牵头开展《中国药典》、药品注册检验等系列培训</w:t>
      </w:r>
      <w:r>
        <w:rPr>
          <w:rFonts w:hint="eastAsia" w:ascii="Times New Roman" w:hAnsi="Times New Roman" w:eastAsia="方正仿宋_GBK" w:cs="Times New Roman"/>
          <w:kern w:val="0"/>
          <w:sz w:val="32"/>
          <w:szCs w:val="32"/>
          <w:lang w:val="en-US" w:eastAsia="zh-CN"/>
        </w:rPr>
        <w:t>20</w:t>
      </w:r>
      <w:r>
        <w:rPr>
          <w:rFonts w:hint="eastAsia" w:ascii="Nimbus Roman" w:hAnsi="Nimbus Roman" w:eastAsia="方正仿宋_GBK" w:cs="Nimbus Roman"/>
          <w:kern w:val="0"/>
          <w:sz w:val="32"/>
          <w:szCs w:val="32"/>
        </w:rPr>
        <w:t>余场，吸引企业技术骨干和监管人员近</w:t>
      </w:r>
      <w:r>
        <w:rPr>
          <w:rFonts w:hint="eastAsia" w:ascii="Times New Roman" w:hAnsi="Times New Roman" w:eastAsia="方正仿宋_GBK" w:cs="Times New Roman"/>
          <w:kern w:val="0"/>
          <w:sz w:val="32"/>
          <w:szCs w:val="32"/>
          <w:lang w:val="en-US" w:eastAsia="zh-CN"/>
        </w:rPr>
        <w:t>4500</w:t>
      </w:r>
      <w:r>
        <w:rPr>
          <w:rFonts w:hint="eastAsia" w:ascii="Nimbus Roman" w:hAnsi="Nimbus Roman" w:eastAsia="方正仿宋_GBK" w:cs="Nimbus Roman"/>
          <w:kern w:val="0"/>
          <w:sz w:val="32"/>
          <w:szCs w:val="32"/>
        </w:rPr>
        <w:t>人参加</w:t>
      </w:r>
      <w:bookmarkEnd w:id="0"/>
      <w:bookmarkEnd w:id="1"/>
      <w:r>
        <w:rPr>
          <w:rFonts w:hint="eastAsia" w:ascii="Nimbus Roman" w:hAnsi="Nimbus Roman" w:eastAsia="方正仿宋_GBK" w:cs="Nimbus Roman"/>
          <w:kern w:val="0"/>
          <w:sz w:val="32"/>
          <w:szCs w:val="32"/>
        </w:rPr>
        <w:t>，受药典委委托首次承办了《中国药典》高效液相色谱法检验技术实操培训班，切实打通药典标准落地实施“最后一公里”。江苏院的技术实力受到药典委的高度认可。持续开展检验科研技术服务，累计帮助企业开展技术服务</w:t>
      </w:r>
      <w:r>
        <w:rPr>
          <w:rFonts w:hint="eastAsia" w:ascii="Times New Roman" w:hAnsi="Times New Roman" w:eastAsia="方正仿宋_GBK" w:cs="Times New Roman"/>
          <w:kern w:val="0"/>
          <w:sz w:val="32"/>
          <w:szCs w:val="32"/>
          <w:lang w:val="en-US" w:eastAsia="zh-CN"/>
        </w:rPr>
        <w:t>382</w:t>
      </w:r>
      <w:r>
        <w:rPr>
          <w:rFonts w:hint="eastAsia" w:ascii="Nimbus Roman" w:hAnsi="Nimbus Roman" w:eastAsia="方正仿宋_GBK" w:cs="Nimbus Roman"/>
          <w:kern w:val="0"/>
          <w:sz w:val="32"/>
          <w:szCs w:val="32"/>
        </w:rPr>
        <w:t>项。积极参与全省大型科研仪器共享平台建设，并连续三年获得绩效评价“优秀”等次。</w:t>
      </w:r>
    </w:p>
    <w:p w14:paraId="4C1FFFFD">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三是</w:t>
      </w:r>
      <w:r>
        <w:rPr>
          <w:rFonts w:hint="eastAsia" w:ascii="Nimbus Roman" w:hAnsi="Nimbus Roman" w:eastAsia="方正仿宋_GBK" w:cs="Nimbus Roman"/>
          <w:b/>
          <w:bCs/>
          <w:kern w:val="0"/>
          <w:sz w:val="32"/>
          <w:szCs w:val="32"/>
        </w:rPr>
        <w:t>平台聚力，创新驱动燃引擎</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以创新为引擎，激发高质量发展内生动力。持续加强科研平台建设，</w:t>
      </w:r>
      <w:r>
        <w:rPr>
          <w:rFonts w:hint="eastAsia" w:ascii="Times New Roman" w:hAnsi="Times New Roman" w:eastAsia="方正仿宋_GBK" w:cs="Times New Roman"/>
          <w:kern w:val="0"/>
          <w:sz w:val="32"/>
          <w:szCs w:val="32"/>
          <w:lang w:val="en-US" w:eastAsia="zh-CN"/>
        </w:rPr>
        <w:t>2025</w:t>
      </w:r>
      <w:r>
        <w:rPr>
          <w:rFonts w:hint="eastAsia" w:ascii="Nimbus Roman" w:hAnsi="Nimbus Roman" w:eastAsia="方正仿宋_GBK" w:cs="Nimbus Roman"/>
          <w:kern w:val="0"/>
          <w:sz w:val="32"/>
          <w:szCs w:val="32"/>
        </w:rPr>
        <w:t>年获批国家药品监督管理局药品监管科学创新研究基地，</w:t>
      </w:r>
      <w:r>
        <w:rPr>
          <w:rFonts w:hint="eastAsia"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年成功获得备案设立博士后科研工作站，迄今已与中国药科大学博士后科研流动站合作招收</w:t>
      </w:r>
      <w:r>
        <w:rPr>
          <w:rFonts w:hint="eastAsia" w:ascii="Times New Roman" w:hAnsi="Times New Roman" w:eastAsia="方正仿宋_GBK" w:cs="Times New Roman"/>
          <w:kern w:val="0"/>
          <w:sz w:val="32"/>
          <w:szCs w:val="32"/>
          <w:lang w:val="en-US" w:eastAsia="zh-CN"/>
        </w:rPr>
        <w:t>2</w:t>
      </w:r>
      <w:r>
        <w:rPr>
          <w:rFonts w:hint="eastAsia" w:ascii="Nimbus Roman" w:hAnsi="Nimbus Roman" w:eastAsia="方正仿宋_GBK" w:cs="Nimbus Roman"/>
          <w:kern w:val="0"/>
          <w:sz w:val="32"/>
          <w:szCs w:val="32"/>
        </w:rPr>
        <w:t>名博士进站。近五年来，承担各类科研课题</w:t>
      </w:r>
      <w:r>
        <w:rPr>
          <w:rFonts w:hint="eastAsia" w:ascii="Times New Roman" w:hAnsi="Times New Roman" w:eastAsia="方正仿宋_GBK" w:cs="Times New Roman"/>
          <w:kern w:val="0"/>
          <w:sz w:val="32"/>
          <w:szCs w:val="32"/>
          <w:lang w:val="en-US" w:eastAsia="zh-CN"/>
        </w:rPr>
        <w:t>96</w:t>
      </w:r>
      <w:r>
        <w:rPr>
          <w:rFonts w:hint="eastAsia" w:ascii="Nimbus Roman" w:hAnsi="Nimbus Roman" w:eastAsia="方正仿宋_GBK" w:cs="Nimbus Roman"/>
          <w:kern w:val="0"/>
          <w:sz w:val="32"/>
          <w:szCs w:val="32"/>
        </w:rPr>
        <w:t>项，获省自然科学基金青年项目</w:t>
      </w:r>
      <w:r>
        <w:rPr>
          <w:rFonts w:hint="eastAsia" w:ascii="Times New Roman" w:hAnsi="Times New Roman" w:eastAsia="方正仿宋_GBK" w:cs="Times New Roman"/>
          <w:kern w:val="0"/>
          <w:sz w:val="32"/>
          <w:szCs w:val="32"/>
          <w:lang w:val="en-US" w:eastAsia="zh-CN"/>
        </w:rPr>
        <w:t>2</w:t>
      </w:r>
      <w:r>
        <w:rPr>
          <w:rFonts w:hint="eastAsia" w:ascii="Nimbus Roman" w:hAnsi="Nimbus Roman" w:eastAsia="方正仿宋_GBK" w:cs="Nimbus Roman"/>
          <w:kern w:val="0"/>
          <w:sz w:val="32"/>
          <w:szCs w:val="32"/>
        </w:rPr>
        <w:t>项、中国博士后科学基金面上项目</w:t>
      </w:r>
      <w:r>
        <w:rPr>
          <w:rFonts w:hint="eastAsia" w:ascii="Times New Roman" w:hAnsi="Times New Roman" w:eastAsia="方正仿宋_GBK" w:cs="Times New Roman"/>
          <w:kern w:val="0"/>
          <w:sz w:val="32"/>
          <w:szCs w:val="32"/>
          <w:lang w:val="en-US" w:eastAsia="zh-CN"/>
        </w:rPr>
        <w:t>1</w:t>
      </w:r>
      <w:r>
        <w:rPr>
          <w:rFonts w:hint="eastAsia" w:ascii="Nimbus Roman" w:hAnsi="Nimbus Roman" w:eastAsia="方正仿宋_GBK" w:cs="Nimbus Roman"/>
          <w:kern w:val="0"/>
          <w:sz w:val="32"/>
          <w:szCs w:val="32"/>
        </w:rPr>
        <w:t>项，参与国自然项目</w:t>
      </w:r>
      <w:r>
        <w:rPr>
          <w:rFonts w:hint="eastAsia" w:ascii="Times New Roman" w:hAnsi="Times New Roman" w:eastAsia="方正仿宋_GBK" w:cs="Times New Roman"/>
          <w:kern w:val="0"/>
          <w:sz w:val="32"/>
          <w:szCs w:val="32"/>
          <w:lang w:val="en-US" w:eastAsia="zh-CN"/>
        </w:rPr>
        <w:t>1</w:t>
      </w:r>
      <w:r>
        <w:rPr>
          <w:rFonts w:hint="eastAsia" w:ascii="Nimbus Roman" w:hAnsi="Nimbus Roman" w:eastAsia="方正仿宋_GBK" w:cs="Nimbus Roman"/>
          <w:kern w:val="0"/>
          <w:sz w:val="32"/>
          <w:szCs w:val="32"/>
        </w:rPr>
        <w:t>项，获得授权发明专利</w:t>
      </w:r>
      <w:r>
        <w:rPr>
          <w:rFonts w:hint="eastAsia" w:ascii="Times New Roman" w:hAnsi="Times New Roman" w:eastAsia="方正仿宋_GBK" w:cs="Times New Roman"/>
          <w:kern w:val="0"/>
          <w:sz w:val="32"/>
          <w:szCs w:val="32"/>
          <w:lang w:val="en-US" w:eastAsia="zh-CN"/>
        </w:rPr>
        <w:t>15</w:t>
      </w:r>
      <w:r>
        <w:rPr>
          <w:rFonts w:hint="eastAsia" w:ascii="Nimbus Roman" w:hAnsi="Nimbus Roman" w:eastAsia="方正仿宋_GBK" w:cs="Nimbus Roman"/>
          <w:kern w:val="0"/>
          <w:sz w:val="32"/>
          <w:szCs w:val="32"/>
        </w:rPr>
        <w:t>项，一人获</w:t>
      </w:r>
      <w:r>
        <w:rPr>
          <w:rFonts w:hint="eastAsia" w:ascii="Times New Roman" w:hAnsi="Times New Roman" w:eastAsia="方正仿宋_GBK" w:cs="Times New Roman"/>
          <w:kern w:val="0"/>
          <w:sz w:val="32"/>
          <w:szCs w:val="32"/>
          <w:lang w:val="en-US" w:eastAsia="zh-CN"/>
        </w:rPr>
        <w:t>2025</w:t>
      </w:r>
      <w:r>
        <w:rPr>
          <w:rFonts w:hint="eastAsia" w:ascii="Nimbus Roman" w:hAnsi="Nimbus Roman" w:eastAsia="方正仿宋_GBK" w:cs="Nimbus Roman"/>
          <w:kern w:val="0"/>
          <w:sz w:val="32"/>
          <w:szCs w:val="32"/>
        </w:rPr>
        <w:t>年“江苏省卓越博士后计划”奖励，一人获</w:t>
      </w:r>
      <w:r>
        <w:rPr>
          <w:rFonts w:hint="eastAsia" w:ascii="Times New Roman" w:hAnsi="Times New Roman" w:eastAsia="方正仿宋_GBK" w:cs="Times New Roman"/>
          <w:kern w:val="0"/>
          <w:sz w:val="32"/>
          <w:szCs w:val="32"/>
          <w:lang w:val="en-US" w:eastAsia="zh-CN"/>
        </w:rPr>
        <w:t>2025</w:t>
      </w:r>
      <w:r>
        <w:rPr>
          <w:rFonts w:hint="eastAsia" w:ascii="Nimbus Roman" w:hAnsi="Nimbus Roman" w:eastAsia="方正仿宋_GBK" w:cs="Nimbus Roman"/>
          <w:kern w:val="0"/>
          <w:sz w:val="32"/>
          <w:szCs w:val="32"/>
        </w:rPr>
        <w:t>年江苏省“双创计划”博士资助，充分展现了科研创新能力；完成国家药典委员会标准提高</w:t>
      </w:r>
      <w:r>
        <w:rPr>
          <w:rFonts w:hint="eastAsia" w:ascii="Times New Roman" w:hAnsi="Times New Roman" w:eastAsia="方正仿宋_GBK" w:cs="Times New Roman"/>
          <w:kern w:val="0"/>
          <w:sz w:val="32"/>
          <w:szCs w:val="32"/>
          <w:lang w:val="en-US" w:eastAsia="zh-CN"/>
        </w:rPr>
        <w:t>46</w:t>
      </w:r>
      <w:r>
        <w:rPr>
          <w:rFonts w:hint="eastAsia" w:ascii="Nimbus Roman" w:hAnsi="Nimbus Roman" w:eastAsia="方正仿宋_GBK" w:cs="Nimbus Roman"/>
          <w:kern w:val="0"/>
          <w:sz w:val="32"/>
          <w:szCs w:val="32"/>
        </w:rPr>
        <w:t>个品种和</w:t>
      </w:r>
      <w:r>
        <w:rPr>
          <w:rFonts w:hint="eastAsia" w:ascii="Times New Roman" w:hAnsi="Times New Roman" w:eastAsia="方正仿宋_GBK" w:cs="Times New Roman"/>
          <w:kern w:val="0"/>
          <w:sz w:val="32"/>
          <w:szCs w:val="32"/>
          <w:lang w:val="en-US" w:eastAsia="zh-CN"/>
        </w:rPr>
        <w:t>19</w:t>
      </w:r>
      <w:r>
        <w:rPr>
          <w:rFonts w:hint="eastAsia" w:ascii="Nimbus Roman" w:hAnsi="Nimbus Roman" w:eastAsia="方正仿宋_GBK" w:cs="Nimbus Roman"/>
          <w:kern w:val="0"/>
          <w:sz w:val="32"/>
          <w:szCs w:val="32"/>
        </w:rPr>
        <w:t>个方法学的起草，</w:t>
      </w:r>
      <w:r>
        <w:rPr>
          <w:rFonts w:hint="eastAsia" w:ascii="Times New Roman" w:hAnsi="Times New Roman" w:eastAsia="方正仿宋_GBK" w:cs="Times New Roman"/>
          <w:kern w:val="0"/>
          <w:sz w:val="32"/>
          <w:szCs w:val="32"/>
          <w:lang w:val="en-US" w:eastAsia="zh-CN"/>
        </w:rPr>
        <w:t>72</w:t>
      </w:r>
      <w:r>
        <w:rPr>
          <w:rFonts w:hint="eastAsia" w:ascii="Nimbus Roman" w:hAnsi="Nimbus Roman" w:eastAsia="方正仿宋_GBK" w:cs="Nimbus Roman"/>
          <w:kern w:val="0"/>
          <w:sz w:val="32"/>
          <w:szCs w:val="32"/>
        </w:rPr>
        <w:t>个品种和</w:t>
      </w:r>
      <w:r>
        <w:rPr>
          <w:rFonts w:hint="eastAsia" w:ascii="Times New Roman" w:hAnsi="Times New Roman" w:eastAsia="方正仿宋_GBK" w:cs="Times New Roman"/>
          <w:kern w:val="0"/>
          <w:sz w:val="32"/>
          <w:szCs w:val="32"/>
          <w:lang w:val="en-US" w:eastAsia="zh-CN"/>
        </w:rPr>
        <w:t>12</w:t>
      </w:r>
      <w:r>
        <w:rPr>
          <w:rFonts w:hint="eastAsia" w:ascii="Nimbus Roman" w:hAnsi="Nimbus Roman" w:eastAsia="方正仿宋_GBK" w:cs="Nimbus Roman"/>
          <w:kern w:val="0"/>
          <w:sz w:val="32"/>
          <w:szCs w:val="32"/>
        </w:rPr>
        <w:t>个方法学的复核工作，其中</w:t>
      </w:r>
      <w:r>
        <w:rPr>
          <w:rFonts w:hint="eastAsia" w:ascii="Times New Roman" w:hAnsi="Times New Roman" w:eastAsia="方正仿宋_GBK" w:cs="Times New Roman"/>
          <w:kern w:val="0"/>
          <w:sz w:val="32"/>
          <w:szCs w:val="32"/>
          <w:lang w:val="en-US" w:eastAsia="zh-CN"/>
        </w:rPr>
        <w:t>18</w:t>
      </w:r>
      <w:r>
        <w:rPr>
          <w:rFonts w:hint="eastAsia" w:ascii="Nimbus Roman" w:hAnsi="Nimbus Roman" w:eastAsia="方正仿宋_GBK" w:cs="Nimbus Roman"/>
          <w:kern w:val="0"/>
          <w:sz w:val="32"/>
          <w:szCs w:val="32"/>
        </w:rPr>
        <w:t>项标准被收录《中国药典》（</w:t>
      </w:r>
      <w:r>
        <w:rPr>
          <w:rFonts w:hint="eastAsia" w:ascii="Times New Roman" w:hAnsi="Times New Roman" w:eastAsia="方正仿宋_GBK" w:cs="Times New Roman"/>
          <w:kern w:val="0"/>
          <w:sz w:val="32"/>
          <w:szCs w:val="32"/>
          <w:lang w:val="en-US" w:eastAsia="zh-CN"/>
        </w:rPr>
        <w:t>2025</w:t>
      </w:r>
      <w:r>
        <w:rPr>
          <w:rFonts w:hint="eastAsia" w:ascii="Nimbus Roman" w:hAnsi="Nimbus Roman" w:eastAsia="方正仿宋_GBK" w:cs="Nimbus Roman"/>
          <w:kern w:val="0"/>
          <w:sz w:val="32"/>
          <w:szCs w:val="32"/>
        </w:rPr>
        <w:t>版），承担了中国药典英文版翻译品种约</w:t>
      </w:r>
      <w:r>
        <w:rPr>
          <w:rFonts w:hint="eastAsia" w:ascii="Times New Roman" w:hAnsi="Times New Roman" w:eastAsia="方正仿宋_GBK" w:cs="Times New Roman"/>
          <w:kern w:val="0"/>
          <w:sz w:val="32"/>
          <w:szCs w:val="32"/>
          <w:lang w:val="en-US" w:eastAsia="zh-CN"/>
        </w:rPr>
        <w:t>120</w:t>
      </w:r>
      <w:r>
        <w:rPr>
          <w:rFonts w:hint="eastAsia" w:ascii="Nimbus Roman" w:hAnsi="Nimbus Roman" w:eastAsia="方正仿宋_GBK" w:cs="Nimbus Roman"/>
          <w:kern w:val="0"/>
          <w:sz w:val="32"/>
          <w:szCs w:val="32"/>
        </w:rPr>
        <w:t>个，通则</w:t>
      </w:r>
      <w:r>
        <w:rPr>
          <w:rFonts w:hint="eastAsia" w:ascii="Times New Roman" w:hAnsi="Times New Roman" w:eastAsia="方正仿宋_GBK" w:cs="Times New Roman"/>
          <w:kern w:val="0"/>
          <w:sz w:val="32"/>
          <w:szCs w:val="32"/>
          <w:lang w:val="en-US" w:eastAsia="zh-CN"/>
        </w:rPr>
        <w:t>13</w:t>
      </w:r>
      <w:r>
        <w:rPr>
          <w:rFonts w:hint="eastAsia" w:ascii="Nimbus Roman" w:hAnsi="Nimbus Roman" w:eastAsia="方正仿宋_GBK" w:cs="Nimbus Roman"/>
          <w:kern w:val="0"/>
          <w:sz w:val="32"/>
          <w:szCs w:val="32"/>
        </w:rPr>
        <w:t>个，多个国际药典标准通过</w:t>
      </w:r>
      <w:r>
        <w:rPr>
          <w:rFonts w:hint="eastAsia" w:ascii="Times New Roman" w:hAnsi="Times New Roman" w:eastAsia="方正仿宋_GBK" w:cs="Times New Roman"/>
          <w:kern w:val="0"/>
          <w:sz w:val="32"/>
          <w:szCs w:val="32"/>
          <w:lang w:val="en-US" w:eastAsia="zh-CN"/>
        </w:rPr>
        <w:t>WHO</w:t>
      </w:r>
      <w:r>
        <w:rPr>
          <w:rFonts w:hint="eastAsia" w:ascii="Nimbus Roman" w:hAnsi="Nimbus Roman" w:eastAsia="方正仿宋_GBK" w:cs="Nimbus Roman"/>
          <w:kern w:val="0"/>
          <w:sz w:val="32"/>
          <w:szCs w:val="32"/>
        </w:rPr>
        <w:t>专家委员会审定，获得《中国药典》标准研究先进单位荣誉称号。</w:t>
      </w:r>
    </w:p>
    <w:p w14:paraId="6F619D58">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四是</w:t>
      </w:r>
      <w:r>
        <w:rPr>
          <w:rFonts w:hint="eastAsia" w:ascii="Nimbus Roman" w:hAnsi="Nimbus Roman" w:eastAsia="方正仿宋_GBK" w:cs="Nimbus Roman"/>
          <w:b/>
          <w:bCs/>
          <w:kern w:val="0"/>
          <w:sz w:val="32"/>
          <w:szCs w:val="32"/>
        </w:rPr>
        <w:t>技术赋能，担当作为践使命</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切实发挥技术支撑作用，每年高质量完成国抽、省抽工作，多次被国家药品监督管理局表彰为“药品检验和质量分析工作表现突出单位”。积极配合公安机关、检查分局、市场监管局查处多起案件，完成涉案样品检验及公检法委托检验。其中，</w:t>
      </w:r>
      <w:r>
        <w:rPr>
          <w:rFonts w:hint="eastAsia" w:ascii="Times New Roman" w:hAnsi="Times New Roman" w:eastAsia="方正仿宋_GBK" w:cs="Times New Roman"/>
          <w:kern w:val="0"/>
          <w:sz w:val="32"/>
          <w:szCs w:val="32"/>
          <w:lang w:val="en-US" w:eastAsia="zh-CN"/>
        </w:rPr>
        <w:t>2021</w:t>
      </w:r>
      <w:r>
        <w:rPr>
          <w:rFonts w:hint="eastAsia" w:ascii="Nimbus Roman" w:hAnsi="Nimbus Roman" w:eastAsia="方正仿宋_GBK" w:cs="Nimbus Roman"/>
          <w:kern w:val="0"/>
          <w:sz w:val="32"/>
          <w:szCs w:val="32"/>
        </w:rPr>
        <w:t>年，参与查处“</w:t>
      </w:r>
      <w:r>
        <w:rPr>
          <w:rFonts w:hint="eastAsia" w:ascii="Times New Roman" w:hAnsi="Times New Roman" w:eastAsia="方正仿宋_GBK" w:cs="Times New Roman"/>
          <w:kern w:val="0"/>
          <w:sz w:val="32"/>
          <w:szCs w:val="32"/>
          <w:lang w:val="en-US" w:eastAsia="zh-CN"/>
        </w:rPr>
        <w:t>8</w:t>
      </w:r>
      <w:r>
        <w:rPr>
          <w:rFonts w:hint="eastAsia" w:ascii="Times New Roman" w:hAnsi="Times New Roman" w:eastAsia="方正仿宋_GBK" w:cs="Times New Roman"/>
          <w:kern w:val="0"/>
          <w:sz w:val="32"/>
          <w:szCs w:val="32"/>
          <w:lang w:val="en-US" w:eastAsia="zh-CN"/>
        </w:rPr>
        <w:sym w:font="Wingdings" w:char="F0A0"/>
      </w:r>
      <w:r>
        <w:rPr>
          <w:rFonts w:hint="eastAsia" w:ascii="Times New Roman" w:hAnsi="Times New Roman" w:eastAsia="方正仿宋_GBK" w:cs="Times New Roman"/>
          <w:kern w:val="0"/>
          <w:sz w:val="32"/>
          <w:szCs w:val="32"/>
          <w:lang w:val="en-US" w:eastAsia="zh-CN"/>
        </w:rPr>
        <w:t>27</w:t>
      </w:r>
      <w:r>
        <w:rPr>
          <w:rFonts w:hint="eastAsia" w:ascii="Nimbus Roman" w:hAnsi="Nimbus Roman" w:eastAsia="方正仿宋_GBK" w:cs="Nimbus Roman"/>
          <w:kern w:val="0"/>
          <w:sz w:val="32"/>
          <w:szCs w:val="32"/>
        </w:rPr>
        <w:t>”生产经营非法添加可能危害人体健康物质的化妆品案，直接推动我国第一个化妆品补充检验方法的发布；</w:t>
      </w:r>
      <w:r>
        <w:rPr>
          <w:rFonts w:hint="eastAsia"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年以来完成了</w:t>
      </w:r>
      <w:r>
        <w:rPr>
          <w:rFonts w:hint="eastAsia" w:ascii="Times New Roman" w:hAnsi="Times New Roman" w:eastAsia="方正仿宋_GBK" w:cs="Times New Roman"/>
          <w:kern w:val="0"/>
          <w:sz w:val="32"/>
          <w:szCs w:val="32"/>
          <w:lang w:val="en-US" w:eastAsia="zh-CN"/>
        </w:rPr>
        <w:t>200</w:t>
      </w:r>
      <w:r>
        <w:rPr>
          <w:rFonts w:hint="eastAsia" w:ascii="Nimbus Roman" w:hAnsi="Nimbus Roman" w:eastAsia="方正仿宋_GBK" w:cs="Nimbus Roman"/>
          <w:kern w:val="0"/>
          <w:sz w:val="32"/>
          <w:szCs w:val="32"/>
        </w:rPr>
        <w:t>余批次司美格鲁肽涉案样品的检验，为打击制假售假的违法行为提供了技术支撑，并于</w:t>
      </w:r>
      <w:r>
        <w:rPr>
          <w:rFonts w:hint="eastAsia" w:ascii="Times New Roman" w:hAnsi="Times New Roman" w:eastAsia="方正仿宋_GBK" w:cs="Times New Roman"/>
          <w:kern w:val="0"/>
          <w:sz w:val="32"/>
          <w:szCs w:val="32"/>
          <w:lang w:val="en-US" w:eastAsia="zh-CN"/>
        </w:rPr>
        <w:t>2024</w:t>
      </w:r>
      <w:r>
        <w:rPr>
          <w:rFonts w:hint="eastAsia" w:ascii="Nimbus Roman" w:hAnsi="Nimbus Roman" w:eastAsia="方正仿宋_GBK" w:cs="Nimbus Roman"/>
          <w:kern w:val="0"/>
          <w:sz w:val="32"/>
          <w:szCs w:val="32"/>
        </w:rPr>
        <w:t>年协助常州检查分局成功破获了“常州非法制售减肥药品案”案件，该案件为当年国家药监局挂牌督办案件之一。同时</w:t>
      </w:r>
      <w:r>
        <w:rPr>
          <w:rFonts w:hint="eastAsia" w:ascii="Nimbus Roman" w:hAnsi="Nimbus Roman" w:eastAsia="方正仿宋_GBK" w:cs="Nimbus Roman"/>
          <w:kern w:val="0"/>
          <w:sz w:val="32"/>
          <w:szCs w:val="32"/>
          <w:lang w:eastAsia="zh-CN"/>
        </w:rPr>
        <w:t>，</w:t>
      </w:r>
      <w:r>
        <w:rPr>
          <w:rFonts w:hint="eastAsia" w:ascii="Nimbus Roman" w:hAnsi="Nimbus Roman" w:eastAsia="方正仿宋_GBK" w:cs="Nimbus Roman"/>
          <w:kern w:val="0"/>
          <w:sz w:val="32"/>
          <w:szCs w:val="32"/>
        </w:rPr>
        <w:t>选派专家参与国家药监局药品注册核查及省局</w:t>
      </w:r>
      <w:r>
        <w:rPr>
          <w:rFonts w:hint="eastAsia" w:ascii="Times New Roman" w:hAnsi="Times New Roman" w:eastAsia="方正仿宋_GBK" w:cs="Times New Roman"/>
          <w:kern w:val="0"/>
          <w:sz w:val="32"/>
          <w:szCs w:val="32"/>
          <w:lang w:val="en-US" w:eastAsia="zh-CN"/>
        </w:rPr>
        <w:t>GMP</w:t>
      </w:r>
      <w:r>
        <w:rPr>
          <w:rFonts w:hint="eastAsia" w:ascii="Nimbus Roman" w:hAnsi="Nimbus Roman" w:eastAsia="方正仿宋_GBK" w:cs="Nimbus Roman"/>
          <w:kern w:val="0"/>
          <w:sz w:val="32"/>
          <w:szCs w:val="32"/>
        </w:rPr>
        <w:t>检查、跟踪检查等工作，以实际行动彰显使命担当。</w:t>
      </w:r>
    </w:p>
    <w:p w14:paraId="1E03DBF6">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五是</w:t>
      </w:r>
      <w:r>
        <w:rPr>
          <w:rFonts w:hint="eastAsia" w:ascii="Nimbus Roman" w:hAnsi="Nimbus Roman" w:eastAsia="方正仿宋_GBK" w:cs="Nimbus Roman"/>
          <w:b/>
          <w:bCs/>
          <w:kern w:val="0"/>
          <w:sz w:val="32"/>
          <w:szCs w:val="32"/>
        </w:rPr>
        <w:t>科学治理，从严从实稳根基</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省药检院领导班子严格执行民主集中制和“三重一大”决策机制，持续提升科学、民主、依法决策水平，夯实组织保障。层层压实廉政责任，聚焦招标采购、干部人事、财务管理等关键环节，常态化开展廉政风险排查，制定针对性防控措施，扎紧制度篱笆。同时，以警示教育基地参观、廉政书画摄影等活动为载体，厚植廉洁文化土壤，持续巩固风清气正的良好氛围，以优良作风支撑药品监管能力跃升和医药产业创新发展。</w:t>
      </w:r>
    </w:p>
    <w:p w14:paraId="54EE0C4A">
      <w:pPr>
        <w:keepNext w:val="0"/>
        <w:keepLines w:val="0"/>
        <w:pageBreakBefore w:val="0"/>
        <w:widowControl/>
        <w:numPr>
          <w:ilvl w:val="0"/>
          <w:numId w:val="2"/>
        </w:numPr>
        <w:kinsoku/>
        <w:wordWrap/>
        <w:overflowPunct/>
        <w:topLinePunct w:val="0"/>
        <w:autoSpaceDE/>
        <w:autoSpaceDN/>
        <w:bidi w:val="0"/>
        <w:spacing w:line="590" w:lineRule="exact"/>
        <w:ind w:left="0" w:leftChars="0" w:firstLine="640" w:firstLineChars="200"/>
        <w:textAlignment w:val="auto"/>
        <w:rPr>
          <w:rFonts w:hint="eastAsia" w:ascii="Nimbus Roman" w:hAnsi="Nimbus Roman" w:eastAsia="方正楷体_GBK" w:cs="Nimbus Roman"/>
          <w:sz w:val="32"/>
          <w:szCs w:val="32"/>
          <w:lang w:val="zh-CN"/>
        </w:rPr>
      </w:pPr>
      <w:r>
        <w:rPr>
          <w:rFonts w:hint="eastAsia" w:ascii="Nimbus Roman" w:hAnsi="Nimbus Roman" w:eastAsia="方正楷体_GBK" w:cs="Nimbus Roman"/>
          <w:sz w:val="32"/>
          <w:szCs w:val="32"/>
          <w:lang w:val="zh-CN"/>
        </w:rPr>
        <w:t>江苏省连云港市药品认证审评服务中心</w:t>
      </w:r>
    </w:p>
    <w:p w14:paraId="1A08B5EA">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牢牢把握药品审评审批制度改革机遇，迎难而上推动建成全省首家省级药械审评核查分支机构，创新构建“省市共建、省管市有”运行模式，推动省级审评核查资源下沉产业一线，持续打通服务医药企业“最后一公里”，用心助力连云港“中华药港”建设，为生物医药产业高质量发展提供坚实药监技术支撑，为全省乃至全国推进审评权限下沉、构建区域药品审评体系贡献可复制、可推广的连云港实践经验。</w:t>
      </w:r>
    </w:p>
    <w:p w14:paraId="33F31651">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敢为人先、攻坚克难，全力建成全省首家审评核查分中心。连云港是国内知名生物医药产业集聚地，医药企业数量多、创新活力强，但此前企业普遍面临药械审评核查周期长、多次来回沟通等难题，人力成本、时间成本</w:t>
      </w:r>
      <w:r>
        <w:rPr>
          <w:rFonts w:hint="eastAsia" w:ascii="Nimbus Roman" w:hAnsi="Nimbus Roman" w:eastAsia="方正仿宋_GBK" w:cs="Nimbus Roman"/>
          <w:kern w:val="0"/>
          <w:sz w:val="32"/>
          <w:szCs w:val="32"/>
          <w:lang w:val="en-US" w:eastAsia="zh-CN"/>
        </w:rPr>
        <w:t>较高</w:t>
      </w:r>
      <w:r>
        <w:rPr>
          <w:rFonts w:hint="eastAsia" w:ascii="Nimbus Roman" w:hAnsi="Nimbus Roman" w:eastAsia="方正仿宋_GBK" w:cs="Nimbus Roman"/>
          <w:kern w:val="0"/>
          <w:sz w:val="32"/>
          <w:szCs w:val="32"/>
        </w:rPr>
        <w:t>，产业对本地设立药品审评核查分支机构的诉求十分迫切。在省委省政府办公厅明确原则支持在连云港设立药品认证审评分中心基础上，市委市政府高位统筹推进，</w:t>
      </w:r>
      <w:r>
        <w:rPr>
          <w:rFonts w:hint="default" w:ascii="Times New Roman" w:hAnsi="Times New Roman" w:eastAsia="方正仿宋_GBK" w:cs="Times New Roman"/>
          <w:kern w:val="0"/>
          <w:sz w:val="32"/>
          <w:szCs w:val="32"/>
          <w:lang w:val="en-US" w:eastAsia="zh-CN"/>
        </w:rPr>
        <w:t>2019</w:t>
      </w:r>
      <w:r>
        <w:rPr>
          <w:rFonts w:hint="eastAsia" w:ascii="Nimbus Roman" w:hAnsi="Nimbus Roman" w:eastAsia="方正仿宋_GBK" w:cs="Nimbus Roman"/>
          <w:kern w:val="0"/>
          <w:sz w:val="32"/>
          <w:szCs w:val="32"/>
        </w:rPr>
        <w:t>年底正式批复成立连云港市药品认证审评服务中心，专职负责推进分中心申报筹建工作，</w:t>
      </w:r>
      <w:r>
        <w:rPr>
          <w:rFonts w:hint="default" w:ascii="Times New Roman" w:hAnsi="Times New Roman" w:eastAsia="方正仿宋_GBK" w:cs="Times New Roman"/>
          <w:kern w:val="0"/>
          <w:sz w:val="32"/>
          <w:szCs w:val="32"/>
          <w:lang w:val="en-US" w:eastAsia="zh-CN"/>
        </w:rPr>
        <w:t>2020</w:t>
      </w:r>
      <w:r>
        <w:rPr>
          <w:rFonts w:hint="eastAsia" w:ascii="Nimbus Roman" w:hAnsi="Nimbus Roman" w:eastAsia="方正仿宋_GBK" w:cs="Nimbus Roman"/>
          <w:kern w:val="0"/>
          <w:sz w:val="32"/>
          <w:szCs w:val="32"/>
        </w:rPr>
        <w:t>年，分中心创建工作正式纳入省市场监管局与市政府高质量发展合作协议。审评核查分中心建设在当时全省乃至全国都属于全新改革探索，没有成熟模式可供参照，跨层级、跨部门协调事项繁多，前期对接推动工作困难重重。</w:t>
      </w:r>
      <w:r>
        <w:rPr>
          <w:rFonts w:hint="default" w:ascii="Times New Roman" w:hAnsi="Times New Roman" w:eastAsia="方正仿宋_GBK" w:cs="Times New Roman"/>
          <w:kern w:val="0"/>
          <w:sz w:val="32"/>
          <w:szCs w:val="32"/>
          <w:lang w:val="en-US" w:eastAsia="zh-CN"/>
        </w:rPr>
        <w:t>2021</w:t>
      </w:r>
      <w:r>
        <w:rPr>
          <w:rFonts w:hint="eastAsia" w:ascii="Nimbus Roman" w:hAnsi="Nimbus Roman" w:eastAsia="方正仿宋_GBK" w:cs="Nimbus Roman"/>
          <w:kern w:val="0"/>
          <w:sz w:val="32"/>
          <w:szCs w:val="32"/>
        </w:rPr>
        <w:t>年初，</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中心在省内率先完成分中心设立可行性论证，同步高效推进办公场所选址、标准化装修、事业编制核增等一系列筹备工作，</w:t>
      </w:r>
      <w:r>
        <w:rPr>
          <w:rFonts w:hint="default" w:ascii="Times New Roman" w:hAnsi="Times New Roman" w:eastAsia="方正仿宋_GBK" w:cs="Times New Roman"/>
          <w:kern w:val="0"/>
          <w:sz w:val="32"/>
          <w:szCs w:val="32"/>
          <w:lang w:val="en-US" w:eastAsia="zh-CN"/>
        </w:rPr>
        <w:t>11</w:t>
      </w:r>
      <w:r>
        <w:rPr>
          <w:rFonts w:hint="eastAsia" w:ascii="Nimbus Roman" w:hAnsi="Nimbus Roman" w:eastAsia="方正仿宋_GBK" w:cs="Nimbus Roman"/>
          <w:kern w:val="0"/>
          <w:sz w:val="32"/>
          <w:szCs w:val="32"/>
        </w:rPr>
        <w:t>月</w:t>
      </w:r>
      <w:r>
        <w:rPr>
          <w:rFonts w:hint="default" w:ascii="Times New Roman" w:hAnsi="Times New Roman" w:eastAsia="方正仿宋_GBK" w:cs="Times New Roman"/>
          <w:kern w:val="0"/>
          <w:sz w:val="32"/>
          <w:szCs w:val="32"/>
          <w:lang w:val="en-US" w:eastAsia="zh-CN"/>
        </w:rPr>
        <w:t>10</w:t>
      </w:r>
      <w:r>
        <w:rPr>
          <w:rFonts w:hint="eastAsia" w:ascii="Nimbus Roman" w:hAnsi="Nimbus Roman" w:eastAsia="方正仿宋_GBK" w:cs="Nimbus Roman"/>
          <w:kern w:val="0"/>
          <w:sz w:val="32"/>
          <w:szCs w:val="32"/>
        </w:rPr>
        <w:t>日，省药监局审评核查连云港分中心如期揭牌，时任</w:t>
      </w:r>
      <w:r>
        <w:rPr>
          <w:rFonts w:hint="eastAsia" w:ascii="Nimbus Roman" w:hAnsi="Nimbus Roman" w:eastAsia="方正仿宋_GBK" w:cs="Nimbus Roman"/>
          <w:kern w:val="0"/>
          <w:sz w:val="32"/>
          <w:szCs w:val="32"/>
          <w:lang w:val="en-US" w:eastAsia="zh-CN"/>
        </w:rPr>
        <w:t>分</w:t>
      </w:r>
      <w:r>
        <w:rPr>
          <w:rFonts w:hint="eastAsia" w:ascii="Nimbus Roman" w:hAnsi="Nimbus Roman" w:eastAsia="方正仿宋_GBK" w:cs="Nimbus Roman"/>
          <w:kern w:val="0"/>
          <w:sz w:val="32"/>
          <w:szCs w:val="32"/>
        </w:rPr>
        <w:t>管副省长亲临现场见证揭牌。机构落地后，</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中心持续完善内部运行体系，聚力打造高素质专业技术队伍。现有事业编制人员</w:t>
      </w:r>
      <w:r>
        <w:rPr>
          <w:rFonts w:hint="default" w:ascii="Times New Roman" w:hAnsi="Times New Roman" w:eastAsia="方正仿宋_GBK" w:cs="Times New Roman"/>
          <w:kern w:val="0"/>
          <w:sz w:val="32"/>
          <w:szCs w:val="32"/>
          <w:lang w:val="en-US" w:eastAsia="zh-CN"/>
        </w:rPr>
        <w:t>15</w:t>
      </w:r>
      <w:r>
        <w:rPr>
          <w:rFonts w:hint="eastAsia" w:ascii="Nimbus Roman" w:hAnsi="Nimbus Roman" w:eastAsia="方正仿宋_GBK" w:cs="Nimbus Roman"/>
          <w:kern w:val="0"/>
          <w:sz w:val="32"/>
          <w:szCs w:val="32"/>
        </w:rPr>
        <w:t>名，其中高级职称</w:t>
      </w:r>
      <w:r>
        <w:rPr>
          <w:rFonts w:hint="default" w:ascii="Times New Roman" w:hAnsi="Times New Roman" w:eastAsia="方正仿宋_GBK" w:cs="Times New Roman"/>
          <w:kern w:val="0"/>
          <w:sz w:val="32"/>
          <w:szCs w:val="32"/>
          <w:lang w:val="en-US" w:eastAsia="zh-CN"/>
        </w:rPr>
        <w:t>6</w:t>
      </w:r>
      <w:r>
        <w:rPr>
          <w:rFonts w:hint="eastAsia" w:ascii="Nimbus Roman" w:hAnsi="Nimbus Roman" w:eastAsia="方正仿宋_GBK" w:cs="Nimbus Roman"/>
          <w:kern w:val="0"/>
          <w:sz w:val="32"/>
          <w:szCs w:val="32"/>
        </w:rPr>
        <w:t>人、中级职称</w:t>
      </w:r>
      <w:r>
        <w:rPr>
          <w:rFonts w:hint="default" w:ascii="Times New Roman" w:hAnsi="Times New Roman" w:eastAsia="方正仿宋_GBK" w:cs="Times New Roman"/>
          <w:kern w:val="0"/>
          <w:sz w:val="32"/>
          <w:szCs w:val="32"/>
          <w:lang w:val="en-US" w:eastAsia="zh-CN"/>
        </w:rPr>
        <w:t>8</w:t>
      </w:r>
      <w:r>
        <w:rPr>
          <w:rFonts w:hint="eastAsia" w:ascii="Nimbus Roman" w:hAnsi="Nimbus Roman" w:eastAsia="方正仿宋_GBK" w:cs="Nimbus Roman"/>
          <w:kern w:val="0"/>
          <w:sz w:val="32"/>
          <w:szCs w:val="32"/>
        </w:rPr>
        <w:t>人，硕士研究生</w:t>
      </w:r>
      <w:r>
        <w:rPr>
          <w:rFonts w:hint="default" w:ascii="Times New Roman" w:hAnsi="Times New Roman" w:eastAsia="方正仿宋_GBK" w:cs="Times New Roman"/>
          <w:kern w:val="0"/>
          <w:sz w:val="32"/>
          <w:szCs w:val="32"/>
          <w:lang w:val="en-US" w:eastAsia="zh-CN"/>
        </w:rPr>
        <w:t>8</w:t>
      </w:r>
      <w:r>
        <w:rPr>
          <w:rFonts w:hint="eastAsia" w:ascii="Nimbus Roman" w:hAnsi="Nimbus Roman" w:eastAsia="方正仿宋_GBK" w:cs="Nimbus Roman"/>
          <w:kern w:val="0"/>
          <w:sz w:val="32"/>
          <w:szCs w:val="32"/>
        </w:rPr>
        <w:t>人，所有药学类专业技术人员全部取得省级药械审评员、检查员资质。</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中心先后于</w:t>
      </w:r>
      <w:r>
        <w:rPr>
          <w:rFonts w:hint="default" w:ascii="Times New Roman" w:hAnsi="Times New Roman" w:eastAsia="方正仿宋_GBK" w:cs="Times New Roman"/>
          <w:kern w:val="0"/>
          <w:sz w:val="32"/>
          <w:szCs w:val="32"/>
          <w:lang w:val="en-US" w:eastAsia="zh-CN"/>
        </w:rPr>
        <w:t>2022</w:t>
      </w:r>
      <w:r>
        <w:rPr>
          <w:rFonts w:hint="eastAsia" w:ascii="Nimbus Roman" w:hAnsi="Nimbus Roman" w:eastAsia="方正仿宋_GBK" w:cs="Nimbus Roman"/>
          <w:kern w:val="0"/>
          <w:sz w:val="32"/>
          <w:szCs w:val="32"/>
        </w:rPr>
        <w:t>年和</w:t>
      </w:r>
      <w:r>
        <w:rPr>
          <w:rFonts w:hint="default"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年两次高标准通过省药监局赋权考核，取得</w:t>
      </w:r>
      <w:r>
        <w:rPr>
          <w:rFonts w:hint="default" w:ascii="Times New Roman" w:hAnsi="Times New Roman" w:eastAsia="方正仿宋_GBK" w:cs="Times New Roman"/>
          <w:kern w:val="0"/>
          <w:sz w:val="32"/>
          <w:szCs w:val="32"/>
          <w:lang w:val="en-US" w:eastAsia="zh-CN"/>
        </w:rPr>
        <w:t>110</w:t>
      </w:r>
      <w:r>
        <w:rPr>
          <w:rFonts w:hint="eastAsia" w:ascii="Nimbus Roman" w:hAnsi="Nimbus Roman" w:eastAsia="方正仿宋_GBK" w:cs="Nimbus Roman"/>
          <w:kern w:val="0"/>
          <w:sz w:val="32"/>
          <w:szCs w:val="32"/>
        </w:rPr>
        <w:t>余项药械审评核查相关赋权事项。</w:t>
      </w:r>
    </w:p>
    <w:p w14:paraId="6A6AE7C4">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锐意改革、勇于探索，持续输出药品审评审批制度改革连云港经验。</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创新落地“省市共建、省管市有”建设运营新模式，打破长期以来省级审评核查资源集中在省会城市的传统格局，积极探索审评权限向产业集聚地市下沉的实施路径，构建起“省局统筹管理、分中心就近承接、直面企业一线服务”的新型区域药械审评核查工作体系，成为江苏省深化药品审评审批制度改革标志性试点。立足企业办事痛点，</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中心持续优化内部业务流程，重塑审评核查工作机制，全面压缩办事时限、提升服务效能。目前所有许可受理事项均可压缩至</w:t>
      </w:r>
      <w:r>
        <w:rPr>
          <w:rFonts w:hint="default" w:ascii="Times New Roman" w:hAnsi="Times New Roman" w:eastAsia="方正仿宋_GBK" w:cs="Times New Roman"/>
          <w:kern w:val="0"/>
          <w:sz w:val="32"/>
          <w:szCs w:val="32"/>
          <w:lang w:val="en-US" w:eastAsia="zh-CN"/>
        </w:rPr>
        <w:t>3</w:t>
      </w:r>
      <w:r>
        <w:rPr>
          <w:rFonts w:hint="eastAsia" w:ascii="Nimbus Roman" w:hAnsi="Nimbus Roman" w:eastAsia="方正仿宋_GBK" w:cs="Nimbus Roman"/>
          <w:kern w:val="0"/>
          <w:sz w:val="32"/>
          <w:szCs w:val="32"/>
        </w:rPr>
        <w:t>个工作日内办结，紧急事项实现即时受理、即时办理；各类药械审评核查办理时限平均压缩至省局对外承诺时限的</w:t>
      </w:r>
      <w:r>
        <w:rPr>
          <w:rFonts w:hint="default" w:ascii="Times New Roman" w:hAnsi="Times New Roman" w:eastAsia="方正仿宋_GBK" w:cs="Times New Roman"/>
          <w:kern w:val="0"/>
          <w:sz w:val="32"/>
          <w:szCs w:val="32"/>
          <w:lang w:val="en-US" w:eastAsia="zh-CN"/>
        </w:rPr>
        <w:t>50</w:t>
      </w:r>
      <w:r>
        <w:rPr>
          <w:rFonts w:hint="eastAsia" w:ascii="Times New Roman" w:hAnsi="Times New Roman" w:eastAsia="方正仿宋_GBK" w:cs="Times New Roman"/>
          <w:kern w:val="0"/>
          <w:sz w:val="32"/>
          <w:szCs w:val="32"/>
          <w:lang w:val="en-US" w:eastAsia="zh-CN"/>
        </w:rPr>
        <w:t>%</w:t>
      </w:r>
      <w:r>
        <w:rPr>
          <w:rFonts w:hint="eastAsia" w:ascii="Nimbus Roman" w:hAnsi="Nimbus Roman" w:eastAsia="方正仿宋_GBK" w:cs="Nimbus Roman"/>
          <w:kern w:val="0"/>
          <w:sz w:val="32"/>
          <w:szCs w:val="32"/>
        </w:rPr>
        <w:t>以内，创新药械相关事项时限最高压缩近</w:t>
      </w:r>
      <w:r>
        <w:rPr>
          <w:rFonts w:hint="default" w:ascii="Times New Roman" w:hAnsi="Times New Roman" w:eastAsia="方正仿宋_GBK" w:cs="Times New Roman"/>
          <w:kern w:val="0"/>
          <w:sz w:val="32"/>
          <w:szCs w:val="32"/>
          <w:lang w:val="en-US" w:eastAsia="zh-CN"/>
        </w:rPr>
        <w:t>90</w:t>
      </w:r>
      <w:r>
        <w:rPr>
          <w:rFonts w:hint="eastAsia" w:ascii="Times New Roman" w:hAnsi="Times New Roman" w:eastAsia="方正仿宋_GBK" w:cs="Times New Roman"/>
          <w:kern w:val="0"/>
          <w:sz w:val="32"/>
          <w:szCs w:val="32"/>
          <w:lang w:val="en-US" w:eastAsia="zh-CN"/>
        </w:rPr>
        <w:t>%</w:t>
      </w:r>
      <w:r>
        <w:rPr>
          <w:rFonts w:hint="eastAsia" w:ascii="Nimbus Roman" w:hAnsi="Nimbus Roman" w:eastAsia="方正仿宋_GBK" w:cs="Nimbus Roman"/>
          <w:kern w:val="0"/>
          <w:sz w:val="32"/>
          <w:szCs w:val="32"/>
        </w:rPr>
        <w:t>，有效实现业务即到即办、问题就地沟通协调，从机制上彻底缓解企业异地奔波的突出难题。分中心运行以来，累计办结各类赋权事项</w:t>
      </w:r>
      <w:r>
        <w:rPr>
          <w:rFonts w:hint="default" w:ascii="Times New Roman" w:hAnsi="Times New Roman" w:eastAsia="方正仿宋_GBK" w:cs="Times New Roman"/>
          <w:kern w:val="0"/>
          <w:sz w:val="32"/>
          <w:szCs w:val="32"/>
          <w:lang w:val="en-US" w:eastAsia="zh-CN"/>
        </w:rPr>
        <w:t>2200</w:t>
      </w:r>
      <w:r>
        <w:rPr>
          <w:rFonts w:hint="eastAsia" w:ascii="Nimbus Roman" w:hAnsi="Nimbus Roman" w:eastAsia="方正仿宋_GBK" w:cs="Nimbus Roman"/>
          <w:kern w:val="0"/>
          <w:sz w:val="32"/>
          <w:szCs w:val="32"/>
        </w:rPr>
        <w:t>余件，开展药械产品再注册受理和技术审查</w:t>
      </w:r>
      <w:r>
        <w:rPr>
          <w:rFonts w:hint="default" w:ascii="Times New Roman" w:hAnsi="Times New Roman" w:eastAsia="方正仿宋_GBK" w:cs="Times New Roman"/>
          <w:kern w:val="0"/>
          <w:sz w:val="32"/>
          <w:szCs w:val="32"/>
          <w:lang w:val="en-US" w:eastAsia="zh-CN"/>
        </w:rPr>
        <w:t>600</w:t>
      </w:r>
      <w:r>
        <w:rPr>
          <w:rFonts w:hint="eastAsia" w:ascii="Nimbus Roman" w:hAnsi="Nimbus Roman" w:eastAsia="方正仿宋_GBK" w:cs="Nimbus Roman"/>
          <w:kern w:val="0"/>
          <w:sz w:val="32"/>
          <w:szCs w:val="32"/>
        </w:rPr>
        <w:t>余件，组织经办各类药械许可现场核查</w:t>
      </w:r>
      <w:r>
        <w:rPr>
          <w:rFonts w:hint="default" w:ascii="Times New Roman" w:hAnsi="Times New Roman" w:eastAsia="方正仿宋_GBK" w:cs="Times New Roman"/>
          <w:kern w:val="0"/>
          <w:sz w:val="32"/>
          <w:szCs w:val="32"/>
          <w:lang w:val="en-US" w:eastAsia="zh-CN"/>
        </w:rPr>
        <w:t>340</w:t>
      </w:r>
      <w:r>
        <w:rPr>
          <w:rFonts w:hint="eastAsia" w:ascii="Nimbus Roman" w:hAnsi="Nimbus Roman" w:eastAsia="方正仿宋_GBK" w:cs="Nimbus Roman"/>
          <w:kern w:val="0"/>
          <w:sz w:val="32"/>
          <w:szCs w:val="32"/>
        </w:rPr>
        <w:t>余家次。</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充分发挥省市药监部门之间的桥梁纽带和一站式服务窗口作用，建立常态化省市协同会商机制，就地协调解决审评核查过程中的各类技术难题与分歧意见。这套资源下沉、省市联动、就近审评、提速增效的运行机制，为省内后续各地推进审评核查分支机构建设提供重要实践样板，为健全现代化区域药品审评监管体系积累宝贵实践经验。</w:t>
      </w:r>
    </w:p>
    <w:p w14:paraId="494D1592">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党建引领、精准赋能，全心全意护航地方医药产业高质量发展。</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坚持党建与业务深度融合，分中心挂牌运行后第一时间成立党支部，持续深化支部共建活动，面向中小型医药企业开展常态化结对技术帮扶。依托“四联四促”工作机制，定期举办医药产业沙龙，全程跟踪指导中小型企业和初创企业完产线建设、产品申报等重点工作，助推企业高质量发展，多家企业专程送来锦旗致谢。</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中心队伍女性职工占比达到</w:t>
      </w:r>
      <w:r>
        <w:rPr>
          <w:rFonts w:hint="default" w:ascii="Times New Roman" w:hAnsi="Times New Roman" w:eastAsia="方正仿宋_GBK" w:cs="Times New Roman"/>
          <w:kern w:val="0"/>
          <w:sz w:val="32"/>
          <w:szCs w:val="32"/>
          <w:lang w:val="en-US" w:eastAsia="zh-CN"/>
        </w:rPr>
        <w:t>80</w:t>
      </w:r>
      <w:r>
        <w:rPr>
          <w:rFonts w:hint="eastAsia" w:ascii="Times New Roman" w:hAnsi="Times New Roman" w:eastAsia="方正仿宋_GBK" w:cs="Times New Roman"/>
          <w:kern w:val="0"/>
          <w:sz w:val="32"/>
          <w:szCs w:val="32"/>
          <w:lang w:val="en-US" w:eastAsia="zh-CN"/>
        </w:rPr>
        <w:t>%</w:t>
      </w:r>
      <w:r>
        <w:rPr>
          <w:rFonts w:hint="eastAsia" w:ascii="Nimbus Roman" w:hAnsi="Nimbus Roman" w:eastAsia="方正仿宋_GBK" w:cs="Nimbus Roman"/>
          <w:kern w:val="0"/>
          <w:sz w:val="32"/>
          <w:szCs w:val="32"/>
        </w:rPr>
        <w:t>，全体人员扎根审评核查服务一线，恪尽职守、敬业奉献，</w:t>
      </w:r>
      <w:r>
        <w:rPr>
          <w:rFonts w:hint="default"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年成功获评“巾帼文明岗”。坚持关口前移、主动靠前服务，多渠道公开业务咨询联系方式，年平均接待企业线上线下咨询</w:t>
      </w:r>
      <w:r>
        <w:rPr>
          <w:rFonts w:hint="default" w:ascii="Times New Roman" w:hAnsi="Times New Roman" w:eastAsia="方正仿宋_GBK" w:cs="Times New Roman"/>
          <w:kern w:val="0"/>
          <w:sz w:val="32"/>
          <w:szCs w:val="32"/>
          <w:lang w:val="en-US" w:eastAsia="zh-CN"/>
        </w:rPr>
        <w:t>1000</w:t>
      </w:r>
      <w:r>
        <w:rPr>
          <w:rFonts w:hint="eastAsia" w:ascii="Nimbus Roman" w:hAnsi="Nimbus Roman" w:eastAsia="方正仿宋_GBK" w:cs="Nimbus Roman"/>
          <w:kern w:val="0"/>
          <w:sz w:val="32"/>
          <w:szCs w:val="32"/>
        </w:rPr>
        <w:t>余人次。持续开展公益性技术培训，先后面向全市组织</w:t>
      </w:r>
      <w:r>
        <w:rPr>
          <w:rFonts w:hint="default" w:ascii="Times New Roman" w:hAnsi="Times New Roman" w:eastAsia="方正仿宋_GBK" w:cs="Times New Roman"/>
          <w:kern w:val="0"/>
          <w:sz w:val="32"/>
          <w:szCs w:val="32"/>
          <w:lang w:val="en-US" w:eastAsia="zh-CN"/>
        </w:rPr>
        <w:t>10</w:t>
      </w:r>
      <w:r>
        <w:rPr>
          <w:rFonts w:hint="eastAsia" w:ascii="Nimbus Roman" w:hAnsi="Nimbus Roman" w:eastAsia="方正仿宋_GBK" w:cs="Nimbus Roman"/>
          <w:kern w:val="0"/>
          <w:sz w:val="32"/>
          <w:szCs w:val="32"/>
        </w:rPr>
        <w:t>余期药械专题培训，累计培训企业技术人员</w:t>
      </w:r>
      <w:r>
        <w:rPr>
          <w:rFonts w:hint="default" w:ascii="Times New Roman" w:hAnsi="Times New Roman" w:eastAsia="方正仿宋_GBK" w:cs="Times New Roman"/>
          <w:kern w:val="0"/>
          <w:sz w:val="32"/>
          <w:szCs w:val="32"/>
          <w:lang w:val="en-US" w:eastAsia="zh-CN"/>
        </w:rPr>
        <w:t>2000</w:t>
      </w:r>
      <w:r>
        <w:rPr>
          <w:rFonts w:hint="eastAsia" w:ascii="Nimbus Roman" w:hAnsi="Nimbus Roman" w:eastAsia="方正仿宋_GBK" w:cs="Nimbus Roman"/>
          <w:kern w:val="0"/>
          <w:sz w:val="32"/>
          <w:szCs w:val="32"/>
        </w:rPr>
        <w:t>余人次，培训报名热度持续高涨，得到行业广泛认可。通过前置技术指导与全过程跟踪帮扶，累计推动</w:t>
      </w:r>
      <w:r>
        <w:rPr>
          <w:rFonts w:hint="default" w:ascii="Times New Roman" w:hAnsi="Times New Roman" w:eastAsia="方正仿宋_GBK" w:cs="Times New Roman"/>
          <w:kern w:val="0"/>
          <w:sz w:val="32"/>
          <w:szCs w:val="32"/>
          <w:lang w:val="en-US" w:eastAsia="zh-CN"/>
        </w:rPr>
        <w:t>30</w:t>
      </w:r>
      <w:r>
        <w:rPr>
          <w:rFonts w:hint="eastAsia" w:ascii="Nimbus Roman" w:hAnsi="Nimbus Roman" w:eastAsia="方正仿宋_GBK" w:cs="Nimbus Roman"/>
          <w:kern w:val="0"/>
          <w:sz w:val="32"/>
          <w:szCs w:val="32"/>
        </w:rPr>
        <w:t>余家药品医疗器械企业顺利取得开办资质。在</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中心持续专业技术支撑下，连云港药械企业接受国家、省级药品监管部门现场检查一次性通过率达到</w:t>
      </w:r>
      <w:r>
        <w:rPr>
          <w:rFonts w:hint="default" w:ascii="Times New Roman" w:hAnsi="Times New Roman" w:eastAsia="方正仿宋_GBK" w:cs="Times New Roman"/>
          <w:kern w:val="0"/>
          <w:sz w:val="32"/>
          <w:szCs w:val="32"/>
          <w:lang w:val="en-US" w:eastAsia="zh-CN"/>
        </w:rPr>
        <w:t>100</w:t>
      </w:r>
      <w:r>
        <w:rPr>
          <w:rFonts w:hint="eastAsia" w:ascii="Times New Roman" w:hAnsi="Times New Roman" w:eastAsia="方正仿宋_GBK" w:cs="Times New Roman"/>
          <w:kern w:val="0"/>
          <w:sz w:val="32"/>
          <w:szCs w:val="32"/>
          <w:lang w:val="en-US" w:eastAsia="zh-CN"/>
        </w:rPr>
        <w:t>%</w:t>
      </w:r>
      <w:r>
        <w:rPr>
          <w:rFonts w:hint="eastAsia" w:ascii="Nimbus Roman" w:hAnsi="Nimbus Roman" w:eastAsia="方正仿宋_GBK" w:cs="Nimbus Roman"/>
          <w:kern w:val="0"/>
          <w:sz w:val="32"/>
          <w:szCs w:val="32"/>
        </w:rPr>
        <w:t>，持续引导企业不断完善质量管理体系，稳步提升全市医药行业整体质量管理水平，切实以高效专业的审评服务赋能区域医药创新持续发展。</w:t>
      </w:r>
    </w:p>
    <w:p w14:paraId="100EAFCC">
      <w:pPr>
        <w:keepNext w:val="0"/>
        <w:keepLines w:val="0"/>
        <w:pageBreakBefore w:val="0"/>
        <w:numPr>
          <w:ilvl w:val="0"/>
          <w:numId w:val="1"/>
        </w:numPr>
        <w:kinsoku/>
        <w:wordWrap/>
        <w:overflowPunct/>
        <w:topLinePunct w:val="0"/>
        <w:autoSpaceDE/>
        <w:bidi w:val="0"/>
        <w:spacing w:line="590" w:lineRule="exact"/>
        <w:ind w:firstLine="640" w:firstLineChars="200"/>
        <w:textAlignment w:val="auto"/>
        <w:rPr>
          <w:rFonts w:hint="eastAsia" w:ascii="Nimbus Roman" w:hAnsi="Nimbus Roman" w:eastAsia="方正黑体_GBK" w:cs="Nimbus Roman"/>
          <w:bCs/>
          <w:sz w:val="32"/>
          <w:szCs w:val="32"/>
          <w:lang w:eastAsia="zh-CN"/>
        </w:rPr>
      </w:pPr>
      <w:r>
        <w:rPr>
          <w:rFonts w:hint="eastAsia" w:ascii="Nimbus Roman" w:hAnsi="Nimbus Roman" w:eastAsia="方正黑体_GBK" w:cs="Nimbus Roman"/>
          <w:bCs/>
          <w:sz w:val="32"/>
          <w:szCs w:val="32"/>
          <w:lang w:eastAsia="zh-CN"/>
        </w:rPr>
        <w:t>先进个人（</w:t>
      </w:r>
      <w:r>
        <w:rPr>
          <w:rFonts w:hint="eastAsia" w:ascii="Times New Roman" w:hAnsi="Times New Roman" w:eastAsia="方正仿宋_GBK" w:cs="Times New Roman"/>
          <w:kern w:val="0"/>
          <w:sz w:val="32"/>
          <w:szCs w:val="32"/>
          <w:lang w:val="en-US" w:eastAsia="zh-CN"/>
        </w:rPr>
        <w:t>1</w:t>
      </w:r>
      <w:r>
        <w:rPr>
          <w:rFonts w:hint="eastAsia" w:ascii="Nimbus Roman" w:hAnsi="Nimbus Roman" w:eastAsia="方正黑体_GBK" w:cs="Nimbus Roman"/>
          <w:bCs/>
          <w:sz w:val="32"/>
          <w:szCs w:val="32"/>
          <w:lang w:val="en-US" w:eastAsia="zh-CN"/>
        </w:rPr>
        <w:t>个</w:t>
      </w:r>
      <w:r>
        <w:rPr>
          <w:rFonts w:hint="eastAsia" w:ascii="Nimbus Roman" w:hAnsi="Nimbus Roman" w:eastAsia="方正黑体_GBK" w:cs="Nimbus Roman"/>
          <w:bCs/>
          <w:sz w:val="32"/>
          <w:szCs w:val="32"/>
          <w:lang w:eastAsia="zh-CN"/>
        </w:rPr>
        <w:t>）</w:t>
      </w:r>
    </w:p>
    <w:p w14:paraId="17D6CA6A">
      <w:pPr>
        <w:keepNext w:val="0"/>
        <w:keepLines w:val="0"/>
        <w:pageBreakBefore w:val="0"/>
        <w:numPr>
          <w:ilvl w:val="0"/>
          <w:numId w:val="3"/>
        </w:numPr>
        <w:kinsoku/>
        <w:wordWrap/>
        <w:overflowPunct/>
        <w:topLinePunct w:val="0"/>
        <w:autoSpaceDE/>
        <w:bidi w:val="0"/>
        <w:adjustRightInd w:val="0"/>
        <w:snapToGrid w:val="0"/>
        <w:spacing w:line="590" w:lineRule="exact"/>
        <w:ind w:firstLine="640" w:firstLineChars="200"/>
        <w:textAlignment w:val="auto"/>
        <w:rPr>
          <w:rFonts w:hint="eastAsia" w:ascii="Nimbus Roman" w:hAnsi="Nimbus Roman" w:eastAsia="方正楷体_GBK" w:cs="Nimbus Roman"/>
          <w:sz w:val="32"/>
          <w:szCs w:val="32"/>
          <w:lang w:val="zh-CN"/>
        </w:rPr>
      </w:pPr>
      <w:r>
        <w:rPr>
          <w:rFonts w:hint="eastAsia" w:ascii="Nimbus Roman" w:hAnsi="Nimbus Roman" w:eastAsia="方正楷体_GBK" w:cs="Nimbus Roman"/>
          <w:sz w:val="32"/>
          <w:szCs w:val="32"/>
          <w:lang w:val="zh-CN"/>
        </w:rPr>
        <w:t>刘书源</w:t>
      </w:r>
    </w:p>
    <w:p w14:paraId="1531D9B2">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刘书源同志始终将政治建设熔铸于医疗器械监管事业的全过程，以赤诚之心践行“两个维护”。面对企业量大面广、监管任务繁重、群众期盼更高的新形势，她始终坚守初心、脚踏实地，在监管创新、服务企业、安全防控一线默默耕耘，以实干诠释忠诚，以担当践行使命，在平凡岗位上书写基层药监干部的坚守与责任。</w:t>
      </w:r>
    </w:p>
    <w:p w14:paraId="247B273A">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rPr>
        <w:t>一是发扬“钉钉子精神”深耕钻研，争做监管创新“探路人”。</w:t>
      </w:r>
      <w:r>
        <w:rPr>
          <w:rFonts w:hint="eastAsia" w:ascii="Nimbus Roman" w:hAnsi="Nimbus Roman" w:eastAsia="方正仿宋_GBK" w:cs="Nimbus Roman"/>
          <w:kern w:val="0"/>
          <w:sz w:val="32"/>
          <w:szCs w:val="32"/>
        </w:rPr>
        <w:t>刘书源不满足于按部就班，面对新形势新问题，她勤于思考、善于总结，立足南京实际，在制度完善、机制建立上积极探索，用点滴创新破解工作难题。破除“一刀切”藩篱，给分类监管装上“准星”。</w:t>
      </w:r>
      <w:r>
        <w:rPr>
          <w:rFonts w:hint="default" w:ascii="Times New Roman" w:hAnsi="Times New Roman" w:eastAsia="方正仿宋_GBK" w:cs="Times New Roman"/>
          <w:kern w:val="0"/>
          <w:sz w:val="32"/>
          <w:szCs w:val="32"/>
          <w:lang w:val="en-US" w:eastAsia="zh-CN"/>
        </w:rPr>
        <w:t>2022</w:t>
      </w:r>
      <w:r>
        <w:rPr>
          <w:rFonts w:hint="default" w:ascii="Nimbus Roman" w:hAnsi="Nimbus Roman" w:eastAsia="方正仿宋_GBK" w:cs="Nimbus Roman"/>
          <w:kern w:val="0"/>
          <w:sz w:val="32"/>
          <w:szCs w:val="32"/>
        </w:rPr>
        <w:t>年</w:t>
      </w:r>
      <w:r>
        <w:rPr>
          <w:rFonts w:hint="eastAsia" w:ascii="Nimbus Roman" w:hAnsi="Nimbus Roman" w:eastAsia="方正仿宋_GBK" w:cs="Nimbus Roman"/>
          <w:kern w:val="0"/>
          <w:sz w:val="32"/>
          <w:szCs w:val="32"/>
        </w:rPr>
        <w:t>，国家药监局委托省药监局开展《医疗器械经营环节重点监管目录》修订研究，南京市局是全省的组长单位，她作为技术牵头人，面对原有目录在产品分类对接和基层定级标准上的实践难点，她敏锐判断：核心症结在于缺乏精细化的匹配逻辑，导致大量企业被笼统划入最高级监管，背离了风险管理的初衷。为此，她创造性提出“品种精准映射”的解决方案，从源头上实现“精准画像、差异监管”，这一立足实操的建议被悉数采纳，获得省药监局表扬。压实“全链条”责任，为长效监管“立柱架梁”。刘书源在实践中深刻认识到，压实企业主体责任，必须抓住关键岗位人员这个“牛鼻子”；提升监管效能，必须为一线检查人员提供清晰的操作标尺。</w:t>
      </w:r>
      <w:r>
        <w:rPr>
          <w:rFonts w:hint="default" w:ascii="Times New Roman" w:hAnsi="Times New Roman" w:eastAsia="方正仿宋_GBK" w:cs="Times New Roman"/>
          <w:kern w:val="0"/>
          <w:sz w:val="32"/>
          <w:szCs w:val="32"/>
          <w:lang w:val="en-US" w:eastAsia="zh-CN"/>
        </w:rPr>
        <w:t>2023</w:t>
      </w:r>
      <w:r>
        <w:rPr>
          <w:rFonts w:hint="default" w:ascii="Nimbus Roman" w:hAnsi="Nimbus Roman" w:eastAsia="方正仿宋_GBK" w:cs="Nimbus Roman"/>
          <w:kern w:val="0"/>
          <w:sz w:val="32"/>
          <w:szCs w:val="32"/>
        </w:rPr>
        <w:t>年起</w:t>
      </w:r>
      <w:r>
        <w:rPr>
          <w:rFonts w:hint="eastAsia" w:ascii="Nimbus Roman" w:hAnsi="Nimbus Roman" w:eastAsia="方正仿宋_GBK" w:cs="Nimbus Roman"/>
          <w:kern w:val="0"/>
          <w:sz w:val="32"/>
          <w:szCs w:val="32"/>
        </w:rPr>
        <w:t>，她勇挑全省试点重担，牵头编制批发企业主体责任指导手册，在全省推广试行，并全国首创医疗器械质量管理工程师制度，建起近</w:t>
      </w:r>
      <w:r>
        <w:rPr>
          <w:rFonts w:hint="default" w:ascii="Times New Roman" w:hAnsi="Times New Roman" w:eastAsia="方正仿宋_GBK" w:cs="Times New Roman"/>
          <w:kern w:val="0"/>
          <w:sz w:val="32"/>
          <w:szCs w:val="32"/>
          <w:lang w:val="en-US" w:eastAsia="zh-CN"/>
        </w:rPr>
        <w:t>1200</w:t>
      </w:r>
      <w:r>
        <w:rPr>
          <w:rFonts w:hint="eastAsia" w:ascii="Nimbus Roman" w:hAnsi="Nimbus Roman" w:eastAsia="方正仿宋_GBK" w:cs="Nimbus Roman"/>
          <w:kern w:val="0"/>
          <w:sz w:val="32"/>
          <w:szCs w:val="32"/>
        </w:rPr>
        <w:t>道题的专业题库，构建三级培育体系，从制度层面引导企业实现从“被动监管”向“主动合规”转变。今年行业专项整治中，她被省药监局抽调牵头编写《医疗器械经营企业现场监督检查工作指引》、《江苏省医疗器械经营企业唯一标识实施指南》等，为提高全省医械安全监管能力献智献策。她以务实与巧干为医疗器械监管现代化贡献着“南京经验”。</w:t>
      </w:r>
    </w:p>
    <w:p w14:paraId="6D44FD84">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default" w:ascii="Nimbus Roman" w:hAnsi="Nimbus Roman" w:eastAsia="方正仿宋_GBK" w:cs="Nimbus Roman"/>
          <w:kern w:val="0"/>
          <w:sz w:val="32"/>
          <w:szCs w:val="32"/>
        </w:rPr>
      </w:pPr>
      <w:r>
        <w:rPr>
          <w:rFonts w:hint="default" w:ascii="Nimbus Roman" w:hAnsi="Nimbus Roman" w:eastAsia="方正仿宋_GBK" w:cs="Nimbus Roman"/>
          <w:b/>
          <w:bCs/>
          <w:kern w:val="0"/>
          <w:sz w:val="32"/>
          <w:szCs w:val="32"/>
        </w:rPr>
        <w:t>二是发扬</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kern w:val="0"/>
          <w:sz w:val="32"/>
          <w:szCs w:val="32"/>
        </w:rPr>
        <w:t>店小二精神</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kern w:val="0"/>
          <w:sz w:val="32"/>
          <w:szCs w:val="32"/>
        </w:rPr>
        <w:t>用情服务，争做企业成长</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kern w:val="0"/>
          <w:sz w:val="32"/>
          <w:szCs w:val="32"/>
        </w:rPr>
        <w:t>助跑人</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kern w:val="0"/>
          <w:sz w:val="32"/>
          <w:szCs w:val="32"/>
        </w:rPr>
        <w:t>。</w:t>
      </w:r>
      <w:r>
        <w:rPr>
          <w:rFonts w:hint="default" w:ascii="Nimbus Roman" w:hAnsi="Nimbus Roman" w:eastAsia="方正仿宋_GBK" w:cs="Nimbus Roman"/>
          <w:kern w:val="0"/>
          <w:sz w:val="32"/>
          <w:szCs w:val="32"/>
        </w:rPr>
        <w:t>她始终怀揣一份柔软热忱对待每一家市场主体。把企业的难事当作自己的心事，用耐心、细心和真心，当好企业发展的贴心帮手。她以</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铁脚板</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丈量企业需求。她主动靠前，累计帮扶</w:t>
      </w:r>
      <w:r>
        <w:rPr>
          <w:rFonts w:hint="default" w:ascii="Times New Roman" w:hAnsi="Times New Roman" w:eastAsia="方正仿宋_GBK" w:cs="Times New Roman"/>
          <w:kern w:val="0"/>
          <w:sz w:val="32"/>
          <w:szCs w:val="32"/>
          <w:lang w:val="en-US" w:eastAsia="zh-CN"/>
        </w:rPr>
        <w:t>60</w:t>
      </w:r>
      <w:r>
        <w:rPr>
          <w:rFonts w:hint="default" w:ascii="Nimbus Roman" w:hAnsi="Nimbus Roman" w:eastAsia="方正仿宋_GBK" w:cs="Nimbus Roman"/>
          <w:kern w:val="0"/>
          <w:sz w:val="32"/>
          <w:szCs w:val="32"/>
        </w:rPr>
        <w:t>余家重点企业破解卡点，多家企业送来感谢信，高度认可她兼具监管尺度与服务温度。</w:t>
      </w:r>
      <w:r>
        <w:rPr>
          <w:rFonts w:hint="default" w:ascii="Times New Roman" w:hAnsi="Times New Roman" w:eastAsia="方正仿宋_GBK" w:cs="Times New Roman"/>
          <w:kern w:val="0"/>
          <w:sz w:val="32"/>
          <w:szCs w:val="32"/>
          <w:lang w:val="en-US" w:eastAsia="zh-CN"/>
        </w:rPr>
        <w:t>2024</w:t>
      </w:r>
      <w:r>
        <w:rPr>
          <w:rFonts w:hint="default" w:ascii="Nimbus Roman" w:hAnsi="Nimbus Roman" w:eastAsia="方正仿宋_GBK" w:cs="Nimbus Roman"/>
          <w:kern w:val="0"/>
          <w:sz w:val="32"/>
          <w:szCs w:val="32"/>
        </w:rPr>
        <w:t>年</w:t>
      </w:r>
      <w:r>
        <w:rPr>
          <w:rFonts w:hint="default" w:ascii="Times New Roman" w:hAnsi="Times New Roman" w:eastAsia="方正仿宋_GBK" w:cs="Times New Roman"/>
          <w:kern w:val="0"/>
          <w:sz w:val="32"/>
          <w:szCs w:val="32"/>
          <w:lang w:val="en-US" w:eastAsia="zh-CN"/>
        </w:rPr>
        <w:t>11</w:t>
      </w:r>
      <w:r>
        <w:rPr>
          <w:rFonts w:hint="default" w:ascii="Nimbus Roman" w:hAnsi="Nimbus Roman" w:eastAsia="方正仿宋_GBK" w:cs="Nimbus Roman"/>
          <w:kern w:val="0"/>
          <w:sz w:val="32"/>
          <w:szCs w:val="32"/>
        </w:rPr>
        <w:t>月走访一家医用软件企业时，企业负责人坦言：</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因产品技术路径新颖、国内注册经验较少，两年多尚未取得一张注册证，我们快撑不下去了</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面对企业的困境，她深知，企业此时缺的不仅是流程指导，更是信心和陪伴。她建立日沟通响应机制，深夜的工作群里仍在交流进展；两次陪同企业赴省审评中心当面咨询，用专业对话打通堵点。一个半月后，企业拿到</w:t>
      </w:r>
      <w:r>
        <w:rPr>
          <w:rFonts w:hint="default" w:ascii="Times New Roman" w:hAnsi="Times New Roman" w:eastAsia="方正仿宋_GBK" w:cs="Times New Roman"/>
          <w:kern w:val="0"/>
          <w:sz w:val="32"/>
          <w:szCs w:val="32"/>
          <w:lang w:val="en-US" w:eastAsia="zh-CN"/>
        </w:rPr>
        <w:t>3</w:t>
      </w:r>
      <w:r>
        <w:rPr>
          <w:rFonts w:hint="default" w:ascii="Nimbus Roman" w:hAnsi="Nimbus Roman" w:eastAsia="方正仿宋_GBK" w:cs="Nimbus Roman"/>
          <w:kern w:val="0"/>
          <w:sz w:val="32"/>
          <w:szCs w:val="32"/>
        </w:rPr>
        <w:t>张注册证和</w:t>
      </w:r>
      <w:r>
        <w:rPr>
          <w:rFonts w:hint="default" w:ascii="Times New Roman" w:hAnsi="Times New Roman" w:eastAsia="方正仿宋_GBK" w:cs="Times New Roman"/>
          <w:kern w:val="0"/>
          <w:sz w:val="32"/>
          <w:szCs w:val="32"/>
          <w:lang w:val="en-US" w:eastAsia="zh-CN"/>
        </w:rPr>
        <w:t>1</w:t>
      </w:r>
      <w:r>
        <w:rPr>
          <w:rFonts w:hint="default" w:ascii="Nimbus Roman" w:hAnsi="Nimbus Roman" w:eastAsia="方正仿宋_GBK" w:cs="Nimbus Roman"/>
          <w:kern w:val="0"/>
          <w:sz w:val="32"/>
          <w:szCs w:val="32"/>
        </w:rPr>
        <w:t>张生产许可证，其中</w:t>
      </w:r>
      <w:r>
        <w:rPr>
          <w:rFonts w:hint="eastAsia" w:ascii="Nimbus Roman" w:hAnsi="Nimbus Roman" w:eastAsia="方正仿宋_GBK" w:cs="Nimbus Roman"/>
          <w:kern w:val="0"/>
          <w:sz w:val="32"/>
          <w:szCs w:val="32"/>
        </w:rPr>
        <w:t>“</w:t>
      </w:r>
      <w:r>
        <w:rPr>
          <w:rFonts w:hint="default" w:ascii="Times New Roman" w:hAnsi="Times New Roman" w:eastAsia="方正仿宋_GBK" w:cs="Times New Roman"/>
          <w:kern w:val="0"/>
          <w:sz w:val="32"/>
          <w:szCs w:val="32"/>
          <w:lang w:val="en-US" w:eastAsia="zh-CN"/>
        </w:rPr>
        <w:t>MR</w:t>
      </w:r>
      <w:r>
        <w:rPr>
          <w:rFonts w:hint="default" w:ascii="Nimbus Roman" w:hAnsi="Nimbus Roman" w:eastAsia="方正仿宋_GBK" w:cs="Nimbus Roman"/>
          <w:kern w:val="0"/>
          <w:sz w:val="32"/>
          <w:szCs w:val="32"/>
        </w:rPr>
        <w:t>医学影像处理软件</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为全省首个产品。企业负责人激动地说：</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帮我们化解了燃眉之急！</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在</w:t>
      </w:r>
      <w:r>
        <w:rPr>
          <w:rFonts w:hint="default" w:ascii="Times New Roman" w:hAnsi="Times New Roman" w:eastAsia="方正仿宋_GBK" w:cs="Times New Roman"/>
          <w:kern w:val="0"/>
          <w:sz w:val="32"/>
          <w:szCs w:val="32"/>
          <w:lang w:val="en-US" w:eastAsia="zh-CN"/>
        </w:rPr>
        <w:t>2024</w:t>
      </w:r>
      <w:r>
        <w:rPr>
          <w:rFonts w:hint="default" w:ascii="Nimbus Roman" w:hAnsi="Nimbus Roman" w:eastAsia="方正仿宋_GBK" w:cs="Nimbus Roman"/>
          <w:kern w:val="0"/>
          <w:sz w:val="32"/>
          <w:szCs w:val="32"/>
        </w:rPr>
        <w:t>年机关作风评议中，二十余家企业专门点名表扬她。她以</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宽肩膀</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搭建协同平台。单打独斗难成事，她牵头举办</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产学研医</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产业对接会，吸引十余万人次线上线下参与，打通资源壁垒；配套推动建设</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四检合一</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综合检验平台，组织企业出海专项帮扶。这套全链条服务模式获评全国</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两品一械</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监管典型案例。</w:t>
      </w:r>
      <w:r>
        <w:rPr>
          <w:rFonts w:hint="default" w:ascii="Times New Roman" w:hAnsi="Times New Roman" w:eastAsia="方正仿宋_GBK" w:cs="Times New Roman"/>
          <w:kern w:val="0"/>
          <w:sz w:val="32"/>
          <w:szCs w:val="32"/>
          <w:lang w:val="en-US" w:eastAsia="zh-CN"/>
        </w:rPr>
        <w:t>2025</w:t>
      </w:r>
      <w:r>
        <w:rPr>
          <w:rFonts w:hint="default" w:ascii="Nimbus Roman" w:hAnsi="Nimbus Roman" w:eastAsia="方正仿宋_GBK" w:cs="Nimbus Roman"/>
          <w:kern w:val="0"/>
          <w:sz w:val="32"/>
          <w:szCs w:val="32"/>
        </w:rPr>
        <w:t>年全市新增注册上市医疗器械</w:t>
      </w:r>
      <w:r>
        <w:rPr>
          <w:rFonts w:hint="default" w:ascii="Times New Roman" w:hAnsi="Times New Roman" w:eastAsia="方正仿宋_GBK" w:cs="Times New Roman"/>
          <w:kern w:val="0"/>
          <w:sz w:val="32"/>
          <w:szCs w:val="32"/>
          <w:lang w:val="en-US" w:eastAsia="zh-CN"/>
        </w:rPr>
        <w:t>495</w:t>
      </w:r>
      <w:r>
        <w:rPr>
          <w:rFonts w:hint="default" w:ascii="Nimbus Roman" w:hAnsi="Nimbus Roman" w:eastAsia="方正仿宋_GBK" w:cs="Nimbus Roman"/>
          <w:kern w:val="0"/>
          <w:sz w:val="32"/>
          <w:szCs w:val="32"/>
        </w:rPr>
        <w:t>个，数量居全省第二，切实将服务效能转化为产业发展动能。</w:t>
      </w:r>
    </w:p>
    <w:p w14:paraId="4E9372C9">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default" w:ascii="Nimbus Roman" w:hAnsi="Nimbus Roman" w:eastAsia="方正仿宋_GBK" w:cs="Nimbus Roman"/>
          <w:b w:val="0"/>
          <w:snapToGrid/>
          <w:kern w:val="0"/>
          <w:sz w:val="32"/>
          <w:szCs w:val="32"/>
          <w:lang w:val="en-US" w:eastAsia="zh-CN" w:bidi="ar-SA"/>
        </w:rPr>
      </w:pPr>
      <w:r>
        <w:rPr>
          <w:rFonts w:hint="default" w:ascii="Nimbus Roman" w:hAnsi="Nimbus Roman" w:eastAsia="方正仿宋_GBK" w:cs="Nimbus Roman"/>
          <w:b/>
          <w:bCs/>
          <w:snapToGrid/>
          <w:kern w:val="0"/>
          <w:sz w:val="32"/>
          <w:szCs w:val="32"/>
          <w:lang w:val="en-US" w:eastAsia="zh-CN" w:bidi="ar-SA"/>
        </w:rPr>
        <w:t>三是发扬</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snapToGrid/>
          <w:kern w:val="0"/>
          <w:sz w:val="32"/>
          <w:szCs w:val="32"/>
          <w:lang w:val="en-US" w:eastAsia="zh-CN" w:bidi="ar-SA"/>
        </w:rPr>
        <w:t>老黄牛精神</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snapToGrid/>
          <w:kern w:val="0"/>
          <w:sz w:val="32"/>
          <w:szCs w:val="32"/>
          <w:lang w:val="en-US" w:eastAsia="zh-CN" w:bidi="ar-SA"/>
        </w:rPr>
        <w:t>笃行尽责，争做安全用械的</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snapToGrid/>
          <w:kern w:val="0"/>
          <w:sz w:val="32"/>
          <w:szCs w:val="32"/>
          <w:lang w:val="en-US" w:eastAsia="zh-CN" w:bidi="ar-SA"/>
        </w:rPr>
        <w:t>守护人</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snapToGrid/>
          <w:kern w:val="0"/>
          <w:sz w:val="32"/>
          <w:szCs w:val="32"/>
          <w:lang w:val="en-US" w:eastAsia="zh-CN" w:bidi="ar-SA"/>
        </w:rPr>
        <w:t>。</w:t>
      </w:r>
      <w:r>
        <w:rPr>
          <w:rFonts w:hint="default" w:ascii="Nimbus Roman" w:hAnsi="Nimbus Roman" w:eastAsia="方正仿宋_GBK" w:cs="Nimbus Roman"/>
          <w:b w:val="0"/>
          <w:snapToGrid/>
          <w:kern w:val="0"/>
          <w:sz w:val="32"/>
          <w:szCs w:val="32"/>
          <w:lang w:val="en-US" w:eastAsia="zh-CN" w:bidi="ar-SA"/>
        </w:rPr>
        <w:t>刘书源始终把群众健康放在首位，以细致严谨的作风抓实智慧监管、科普宣传、标准建设等各项工作，日复一日坚守一线，筑牢全民用械安全防线。摒弃</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人海战术</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主动向数字科技要效率。面对万家经营企业，传统人海战术难以实现全覆盖监管，必须向科技要效率。她牵头建设完善集七大功能于一体的经营智慧监管平台，实现三级联动、移动执法、数字档案、企业自助上报，真正做到了</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数据多跑路、企业少跑腿</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，监管人员可实时看清底数。拒绝</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生硬说教</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，用大白话为群众炼就</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火眼金睛</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w:t>
      </w:r>
      <w:r>
        <w:rPr>
          <w:rFonts w:hint="default" w:ascii="Times New Roman" w:hAnsi="Times New Roman" w:eastAsia="方正仿宋_GBK" w:cs="Times New Roman"/>
          <w:kern w:val="0"/>
          <w:sz w:val="32"/>
          <w:szCs w:val="32"/>
          <w:lang w:val="en-US" w:eastAsia="zh-CN" w:bidi="ar-SA"/>
        </w:rPr>
        <w:t>2022</w:t>
      </w:r>
      <w:r>
        <w:rPr>
          <w:rFonts w:hint="default" w:ascii="Nimbus Roman" w:hAnsi="Nimbus Roman" w:eastAsia="方正仿宋_GBK" w:cs="Nimbus Roman"/>
          <w:b w:val="0"/>
          <w:snapToGrid/>
          <w:kern w:val="0"/>
          <w:sz w:val="32"/>
          <w:szCs w:val="32"/>
          <w:lang w:val="en-US" w:eastAsia="zh-CN" w:bidi="ar-SA"/>
        </w:rPr>
        <w:t>年以来，她牵头制作《教你三招，正确选购医疗器械》《隐形眼镜选购和使用指南》等视频，用通俗语言讲清</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不存在械字号面膜</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等常识，多篇科普被中央、省部级媒体采用，受众超百万人。她认为，把专业的监管要求转化为群众听得懂、用得上的科普常识，是从源头防范风险的有效手段。盯紧</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小切口</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，主动填补行业规范空白。针对助听器等贴近民生的医疗器械市场规范缺失问题，她坚持问题导向，认为只有建立明确的标准规范，企业才有章可循，群众用械才能安心。</w:t>
      </w:r>
      <w:r>
        <w:rPr>
          <w:rFonts w:hint="default" w:ascii="Times New Roman" w:hAnsi="Times New Roman" w:eastAsia="方正仿宋_GBK" w:cs="Times New Roman"/>
          <w:kern w:val="0"/>
          <w:sz w:val="32"/>
          <w:szCs w:val="32"/>
          <w:lang w:val="en-US" w:eastAsia="zh-CN" w:bidi="ar-SA"/>
        </w:rPr>
        <w:t>2025</w:t>
      </w:r>
      <w:r>
        <w:rPr>
          <w:rFonts w:hint="default" w:ascii="Nimbus Roman" w:hAnsi="Nimbus Roman" w:eastAsia="方正仿宋_GBK" w:cs="Nimbus Roman"/>
          <w:b w:val="0"/>
          <w:snapToGrid/>
          <w:kern w:val="0"/>
          <w:sz w:val="32"/>
          <w:szCs w:val="32"/>
          <w:lang w:val="en-US" w:eastAsia="zh-CN" w:bidi="ar-SA"/>
        </w:rPr>
        <w:t>年，她指导行业协会制定发布《助听器零售企业经营服务质量规范》团体标准，填补了国内相关领域空白。</w:t>
      </w:r>
    </w:p>
    <w:p w14:paraId="21AC4F40">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default" w:ascii="Nimbus Roman" w:hAnsi="Nimbus Roman" w:eastAsia="方正仿宋_GBK" w:cs="Nimbus Roman"/>
          <w:b w:val="0"/>
          <w:snapToGrid/>
          <w:kern w:val="0"/>
          <w:sz w:val="32"/>
          <w:szCs w:val="32"/>
          <w:lang w:val="en-US" w:eastAsia="zh-CN" w:bidi="ar-SA"/>
        </w:rPr>
      </w:pPr>
      <w:r>
        <w:rPr>
          <w:rFonts w:hint="default" w:ascii="Nimbus Roman" w:hAnsi="Nimbus Roman" w:eastAsia="方正仿宋_GBK" w:cs="Nimbus Roman"/>
          <w:b w:val="0"/>
          <w:snapToGrid/>
          <w:kern w:val="0"/>
          <w:sz w:val="32"/>
          <w:szCs w:val="32"/>
          <w:lang w:val="en-US" w:eastAsia="zh-CN" w:bidi="ar-SA"/>
        </w:rPr>
        <w:t>刘书源同志</w:t>
      </w:r>
      <w:r>
        <w:rPr>
          <w:rFonts w:hint="default" w:ascii="Times New Roman" w:hAnsi="Times New Roman" w:eastAsia="方正仿宋_GBK" w:cs="Times New Roman"/>
          <w:b w:val="0"/>
          <w:snapToGrid/>
          <w:kern w:val="0"/>
          <w:sz w:val="32"/>
          <w:szCs w:val="32"/>
          <w:lang w:val="en-US" w:eastAsia="zh-CN" w:bidi="ar-SA"/>
        </w:rPr>
        <w:t>2018</w:t>
      </w:r>
      <w:r>
        <w:rPr>
          <w:rFonts w:hint="default" w:ascii="Nimbus Roman" w:hAnsi="Nimbus Roman" w:eastAsia="方正仿宋_GBK" w:cs="Nimbus Roman"/>
          <w:b w:val="0"/>
          <w:snapToGrid/>
          <w:kern w:val="0"/>
          <w:sz w:val="32"/>
          <w:szCs w:val="32"/>
          <w:lang w:val="en-US" w:eastAsia="zh-CN" w:bidi="ar-SA"/>
        </w:rPr>
        <w:t>年以来，</w:t>
      </w:r>
      <w:r>
        <w:rPr>
          <w:rFonts w:hint="default" w:ascii="Times New Roman" w:hAnsi="Times New Roman" w:eastAsia="方正仿宋_GBK" w:cs="Times New Roman"/>
          <w:b w:val="0"/>
          <w:snapToGrid/>
          <w:kern w:val="0"/>
          <w:sz w:val="32"/>
          <w:szCs w:val="32"/>
          <w:lang w:val="en-US" w:eastAsia="zh-CN" w:bidi="ar-SA"/>
        </w:rPr>
        <w:t>7</w:t>
      </w:r>
      <w:r>
        <w:rPr>
          <w:rFonts w:hint="default" w:ascii="Nimbus Roman" w:hAnsi="Nimbus Roman" w:eastAsia="方正仿宋_GBK" w:cs="Nimbus Roman"/>
          <w:b w:val="0"/>
          <w:snapToGrid/>
          <w:kern w:val="0"/>
          <w:sz w:val="32"/>
          <w:szCs w:val="32"/>
          <w:lang w:val="en-US" w:eastAsia="zh-CN" w:bidi="ar-SA"/>
        </w:rPr>
        <w:t>次获评南京市市场监督管理局优秀等次，</w:t>
      </w:r>
      <w:r>
        <w:rPr>
          <w:rFonts w:hint="default" w:ascii="Times New Roman" w:hAnsi="Times New Roman" w:eastAsia="方正仿宋_GBK" w:cs="Times New Roman"/>
          <w:b w:val="0"/>
          <w:snapToGrid/>
          <w:kern w:val="0"/>
          <w:sz w:val="32"/>
          <w:szCs w:val="32"/>
          <w:lang w:val="en-US" w:eastAsia="zh-CN" w:bidi="ar-SA"/>
        </w:rPr>
        <w:t>2021</w:t>
      </w:r>
      <w:r>
        <w:rPr>
          <w:rFonts w:hint="default" w:ascii="Nimbus Roman" w:hAnsi="Nimbus Roman" w:eastAsia="方正仿宋_GBK" w:cs="Nimbus Roman"/>
          <w:b w:val="0"/>
          <w:snapToGrid/>
          <w:kern w:val="0"/>
          <w:sz w:val="32"/>
          <w:szCs w:val="32"/>
          <w:lang w:val="en-US" w:eastAsia="zh-CN" w:bidi="ar-SA"/>
        </w:rPr>
        <w:t>年、</w:t>
      </w:r>
      <w:r>
        <w:rPr>
          <w:rFonts w:hint="default" w:ascii="Times New Roman" w:hAnsi="Times New Roman" w:eastAsia="方正仿宋_GBK" w:cs="Times New Roman"/>
          <w:b w:val="0"/>
          <w:snapToGrid/>
          <w:kern w:val="0"/>
          <w:sz w:val="32"/>
          <w:szCs w:val="32"/>
          <w:lang w:val="en-US" w:eastAsia="zh-CN" w:bidi="ar-SA"/>
        </w:rPr>
        <w:t>2025</w:t>
      </w:r>
      <w:r>
        <w:rPr>
          <w:rFonts w:hint="default" w:ascii="Nimbus Roman" w:hAnsi="Nimbus Roman" w:eastAsia="方正仿宋_GBK" w:cs="Nimbus Roman"/>
          <w:b w:val="0"/>
          <w:snapToGrid/>
          <w:kern w:val="0"/>
          <w:sz w:val="32"/>
          <w:szCs w:val="32"/>
          <w:lang w:val="en-US" w:eastAsia="zh-CN" w:bidi="ar-SA"/>
        </w:rPr>
        <w:t>年两次被授予记三等功嘉奖。在刘书源同志担任组织委员期间，所在支部（市市场监督管理局机关第十九党支部）</w:t>
      </w:r>
      <w:r>
        <w:rPr>
          <w:rFonts w:hint="default" w:ascii="Times New Roman" w:hAnsi="Times New Roman" w:eastAsia="方正仿宋_GBK" w:cs="Times New Roman"/>
          <w:b w:val="0"/>
          <w:snapToGrid/>
          <w:kern w:val="0"/>
          <w:sz w:val="32"/>
          <w:szCs w:val="32"/>
          <w:lang w:val="en-US" w:eastAsia="zh-CN" w:bidi="ar-SA"/>
        </w:rPr>
        <w:t>2025</w:t>
      </w:r>
      <w:r>
        <w:rPr>
          <w:rFonts w:hint="default" w:ascii="Nimbus Roman" w:hAnsi="Nimbus Roman" w:eastAsia="方正仿宋_GBK" w:cs="Nimbus Roman"/>
          <w:b w:val="0"/>
          <w:snapToGrid/>
          <w:kern w:val="0"/>
          <w:sz w:val="32"/>
          <w:szCs w:val="32"/>
          <w:lang w:val="en-US" w:eastAsia="zh-CN" w:bidi="ar-SA"/>
        </w:rPr>
        <w:t>年被中共南京市委市级机关工作委员会表彰为先进基层党组织；作为核心骨干，她所在的医疗器械监管处，</w:t>
      </w:r>
      <w:r>
        <w:rPr>
          <w:rFonts w:hint="default" w:ascii="Times New Roman" w:hAnsi="Times New Roman" w:eastAsia="方正仿宋_GBK" w:cs="Times New Roman"/>
          <w:b w:val="0"/>
          <w:snapToGrid/>
          <w:kern w:val="0"/>
          <w:sz w:val="32"/>
          <w:szCs w:val="32"/>
          <w:lang w:val="en-US" w:eastAsia="zh-CN" w:bidi="ar-SA"/>
        </w:rPr>
        <w:t>2024</w:t>
      </w:r>
      <w:r>
        <w:rPr>
          <w:rFonts w:hint="default" w:ascii="Nimbus Roman" w:hAnsi="Nimbus Roman" w:eastAsia="方正仿宋_GBK" w:cs="Nimbus Roman"/>
          <w:b w:val="0"/>
          <w:snapToGrid/>
          <w:kern w:val="0"/>
          <w:sz w:val="32"/>
          <w:szCs w:val="32"/>
          <w:lang w:val="en-US" w:eastAsia="zh-CN" w:bidi="ar-SA"/>
        </w:rPr>
        <w:t>年被南京市机关作风和行业作风建设工作领导小组表彰为</w:t>
      </w:r>
      <w:r>
        <w:rPr>
          <w:rFonts w:hint="default" w:ascii="Times New Roman" w:hAnsi="Times New Roman" w:eastAsia="方正仿宋_GBK" w:cs="Times New Roman"/>
          <w:b w:val="0"/>
          <w:snapToGrid/>
          <w:kern w:val="0"/>
          <w:sz w:val="32"/>
          <w:szCs w:val="32"/>
          <w:lang w:val="en-US" w:eastAsia="zh-CN" w:bidi="ar-SA"/>
        </w:rPr>
        <w:t>2023</w:t>
      </w:r>
      <w:r>
        <w:rPr>
          <w:rFonts w:hint="default" w:ascii="Nimbus Roman" w:hAnsi="Nimbus Roman" w:eastAsia="方正仿宋_GBK" w:cs="Nimbus Roman"/>
          <w:b w:val="0"/>
          <w:snapToGrid/>
          <w:kern w:val="0"/>
          <w:sz w:val="32"/>
          <w:szCs w:val="32"/>
          <w:lang w:val="en-US" w:eastAsia="zh-CN" w:bidi="ar-SA"/>
        </w:rPr>
        <w:t>年度机关作风先进处室，</w:t>
      </w:r>
      <w:r>
        <w:rPr>
          <w:rFonts w:hint="default" w:ascii="Times New Roman" w:hAnsi="Times New Roman" w:eastAsia="方正仿宋_GBK" w:cs="Times New Roman"/>
          <w:b w:val="0"/>
          <w:snapToGrid/>
          <w:kern w:val="0"/>
          <w:sz w:val="32"/>
          <w:szCs w:val="32"/>
          <w:lang w:val="en-US" w:eastAsia="zh-CN" w:bidi="ar-SA"/>
        </w:rPr>
        <w:t>2026</w:t>
      </w:r>
      <w:r>
        <w:rPr>
          <w:rFonts w:hint="default" w:ascii="Nimbus Roman" w:hAnsi="Nimbus Roman" w:eastAsia="方正仿宋_GBK" w:cs="Nimbus Roman"/>
          <w:b w:val="0"/>
          <w:snapToGrid/>
          <w:kern w:val="0"/>
          <w:sz w:val="32"/>
          <w:szCs w:val="32"/>
          <w:lang w:val="en-US" w:eastAsia="zh-CN" w:bidi="ar-SA"/>
        </w:rPr>
        <w:t>年</w:t>
      </w:r>
      <w:r>
        <w:rPr>
          <w:rFonts w:hint="default" w:ascii="Times New Roman" w:hAnsi="Times New Roman" w:eastAsia="方正仿宋_GBK" w:cs="Times New Roman"/>
          <w:b w:val="0"/>
          <w:snapToGrid/>
          <w:kern w:val="0"/>
          <w:sz w:val="32"/>
          <w:szCs w:val="32"/>
          <w:lang w:val="en-US" w:eastAsia="zh-CN" w:bidi="ar-SA"/>
        </w:rPr>
        <w:t>6</w:t>
      </w:r>
      <w:r>
        <w:rPr>
          <w:rFonts w:hint="default" w:ascii="Nimbus Roman" w:hAnsi="Nimbus Roman" w:eastAsia="方正仿宋_GBK" w:cs="Nimbus Roman"/>
          <w:b w:val="0"/>
          <w:snapToGrid/>
          <w:kern w:val="0"/>
          <w:sz w:val="32"/>
          <w:szCs w:val="32"/>
          <w:lang w:val="en-US" w:eastAsia="zh-CN" w:bidi="ar-SA"/>
        </w:rPr>
        <w:t>月被中共南京市委、南京市人民政府表彰为</w:t>
      </w:r>
      <w:r>
        <w:rPr>
          <w:rFonts w:hint="default" w:ascii="Times New Roman" w:hAnsi="Times New Roman" w:eastAsia="方正仿宋_GBK" w:cs="Times New Roman"/>
          <w:b w:val="0"/>
          <w:snapToGrid/>
          <w:kern w:val="0"/>
          <w:sz w:val="32"/>
          <w:szCs w:val="32"/>
          <w:lang w:val="en-US" w:eastAsia="zh-CN" w:bidi="ar-SA"/>
        </w:rPr>
        <w:t>2025</w:t>
      </w:r>
      <w:r>
        <w:rPr>
          <w:rFonts w:hint="default" w:ascii="Nimbus Roman" w:hAnsi="Nimbus Roman" w:eastAsia="方正仿宋_GBK" w:cs="Nimbus Roman"/>
          <w:b w:val="0"/>
          <w:snapToGrid/>
          <w:kern w:val="0"/>
          <w:sz w:val="32"/>
          <w:szCs w:val="32"/>
          <w:lang w:val="en-US" w:eastAsia="zh-CN" w:bidi="ar-SA"/>
        </w:rPr>
        <w:t>年</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高水平推进中国式现代化南京新实践</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先进集体。</w:t>
      </w:r>
    </w:p>
    <w:p w14:paraId="36151F79"/>
    <w:sectPr>
      <w:footerReference r:id="rId4" w:type="first"/>
      <w:footerReference r:id="rId3" w:type="default"/>
      <w:pgSz w:w="11900" w:h="16840"/>
      <w:pgMar w:top="2098" w:right="1474" w:bottom="1985" w:left="1588" w:header="1417" w:footer="1531" w:gutter="0"/>
      <w:pgNumType w:fmt="decimal"/>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imbus Roman">
    <w:altName w:val="Segoe Print"/>
    <w:panose1 w:val="00000500000000000000"/>
    <w:charset w:val="00"/>
    <w:family w:val="auto"/>
    <w:pitch w:val="default"/>
    <w:sig w:usb0="00000000" w:usb1="00000000" w:usb2="00000000" w:usb3="00000000" w:csb0="6000009F" w:csb1="00000000"/>
  </w:font>
  <w:font w:name="Segoe Print">
    <w:panose1 w:val="02000600000000000000"/>
    <w:charset w:val="00"/>
    <w:family w:val="auto"/>
    <w:pitch w:val="default"/>
    <w:sig w:usb0="0000028F" w:usb1="00000000" w:usb2="00000000" w:usb3="00000000" w:csb0="2000009F" w:csb1="4701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0EC28">
    <w:pPr>
      <w:pStyle w:val="3"/>
      <w:ind w:firstLine="242" w:firstLineChars="101"/>
      <w:rPr>
        <w:rFonts w:ascii="Times New Roman" w:hAnsi="Times New Roman"/>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B3319C7">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1B3319C7">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v:textbox>
            </v:shape>
          </w:pict>
        </mc:Fallback>
      </mc:AlternateContent>
    </w:r>
  </w:p>
  <w:p w14:paraId="5DB5FC63">
    <w:pPr>
      <w:snapToGrid w:val="0"/>
      <w:jc w:val="left"/>
      <w:rPr>
        <w:sz w:val="18"/>
      </w:rPr>
    </w:pPr>
    <w:bookmarkStart w:id="2" w:name="OLE_LINK30"/>
    <w:bookmarkEnd w:id="2"/>
    <w:bookmarkStart w:id="3" w:name="OLE_LINK31"/>
    <w:bookmarkEnd w:id="3"/>
    <w:bookmarkStart w:id="4" w:name="_Hlk228960206"/>
    <w:bookmarkEnd w:id="4"/>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67470">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CE051FB">
                          <w:pPr>
                            <w:pStyle w:val="3"/>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fill on="f" focussize="0,0"/>
              <v:stroke on="f" weight="0.5pt"/>
              <v:imagedata o:title=""/>
              <o:lock v:ext="edit" aspectratio="f"/>
              <v:textbox inset="0mm,0mm,0mm,0mm" style="mso-fit-shape-to-text:t;">
                <w:txbxContent>
                  <w:p w14:paraId="0CE051FB">
                    <w:pPr>
                      <w:pStyle w:val="3"/>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0B4173"/>
    <w:multiLevelType w:val="singleLevel"/>
    <w:tmpl w:val="020B4173"/>
    <w:lvl w:ilvl="0" w:tentative="0">
      <w:start w:val="1"/>
      <w:numFmt w:val="chineseCounting"/>
      <w:suff w:val="nothing"/>
      <w:lvlText w:val="（%1）"/>
      <w:lvlJc w:val="left"/>
      <w:rPr>
        <w:rFonts w:hint="eastAsia"/>
      </w:rPr>
    </w:lvl>
  </w:abstractNum>
  <w:abstractNum w:abstractNumId="1">
    <w:nsid w:val="0701581D"/>
    <w:multiLevelType w:val="singleLevel"/>
    <w:tmpl w:val="0701581D"/>
    <w:lvl w:ilvl="0" w:tentative="0">
      <w:start w:val="1"/>
      <w:numFmt w:val="chineseCounting"/>
      <w:suff w:val="nothing"/>
      <w:lvlText w:val="（%1）"/>
      <w:lvlJc w:val="left"/>
      <w:rPr>
        <w:rFonts w:hint="eastAsia"/>
      </w:rPr>
    </w:lvl>
  </w:abstractNum>
  <w:abstractNum w:abstractNumId="2">
    <w:nsid w:val="32F2525E"/>
    <w:multiLevelType w:val="singleLevel"/>
    <w:tmpl w:val="32F2525E"/>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F83C51"/>
    <w:rsid w:val="1FA36F96"/>
    <w:rsid w:val="20DD3216"/>
    <w:rsid w:val="331873CE"/>
    <w:rsid w:val="35DE695B"/>
    <w:rsid w:val="59CC6686"/>
    <w:rsid w:val="7DBA27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
    <w:pPr>
      <w:autoSpaceDE w:val="0"/>
      <w:autoSpaceDN w:val="0"/>
      <w:snapToGrid w:val="0"/>
      <w:spacing w:before="100" w:beforeLines="0" w:beforeAutospacing="1" w:after="100" w:afterLines="0" w:afterAutospacing="1" w:line="590" w:lineRule="atLeast"/>
      <w:ind w:firstLine="624"/>
      <w:outlineLvl w:val="2"/>
    </w:pPr>
    <w:rPr>
      <w:rFonts w:hint="eastAsia" w:ascii="宋体" w:hAnsi="宋体"/>
      <w:b/>
      <w:snapToGrid w:val="0"/>
      <w:sz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qFormat/>
    <w:uiPriority w:val="0"/>
    <w:pPr>
      <w:widowControl w:val="0"/>
      <w:snapToGrid w:val="0"/>
    </w:pPr>
    <w:rPr>
      <w:rFonts w:ascii="Calibri" w:hAnsi="Calibri"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5741</Words>
  <Characters>5922</Characters>
  <Lines>0</Lines>
  <Paragraphs>0</Paragraphs>
  <TotalTime>14</TotalTime>
  <ScaleCrop>false</ScaleCrop>
  <LinksUpToDate>false</LinksUpToDate>
  <CharactersWithSpaces>5923</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2026-11-02T00:20:00Z</dcterms:created>
  <dc:creator>Administrator</dc:creator>
  <cp:lastModifiedBy>相裕连</cp:lastModifiedBy>
  <dcterms:modified xsi:type="dcterms:W3CDTF">2026-11-02T06:52:10Z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19EC42FE46B24BF6B0F4400B4FF06F14_13</vt:lpwstr>
  </property>
</Properties>
</file>