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3299A">
      <w:pPr>
        <w:adjustRightInd w:val="0"/>
        <w:snapToGrid w:val="0"/>
        <w:spacing w:line="590" w:lineRule="exact"/>
        <w:rPr>
          <w:rFonts w:hint="eastAsia" w:ascii="方正黑体_GBK" w:eastAsia="方正黑体_GBK" w:cs="方正黑体_GBK"/>
          <w:lang w:eastAsia="zh-CN" w:bidi="ar-SA"/>
        </w:rPr>
      </w:pPr>
      <w:r>
        <w:rPr>
          <w:rFonts w:hint="eastAsia" w:ascii="方正黑体_GBK" w:eastAsia="方正黑体_GBK" w:cs="方正黑体_GBK"/>
          <w:lang w:bidi="ar-SA"/>
        </w:rPr>
        <w:t>附件2</w:t>
      </w:r>
    </w:p>
    <w:p w14:paraId="6F4BB9C2">
      <w:pPr>
        <w:widowControl/>
        <w:adjustRightInd w:val="0"/>
        <w:snapToGrid w:val="0"/>
        <w:spacing w:line="590" w:lineRule="exact"/>
        <w:jc w:val="center"/>
        <w:rPr>
          <w:rFonts w:hint="eastAsia" w:ascii="方正小标宋_GBK" w:eastAsia="方正小标宋_GBK" w:cs="方正小标宋简体"/>
          <w:kern w:val="0"/>
          <w:sz w:val="44"/>
          <w:szCs w:val="44"/>
          <w:lang w:bidi="ar"/>
        </w:rPr>
      </w:pPr>
    </w:p>
    <w:p w14:paraId="73E49C95">
      <w:pPr>
        <w:widowControl/>
        <w:adjustRightInd w:val="0"/>
        <w:snapToGrid w:val="0"/>
        <w:spacing w:line="590" w:lineRule="exact"/>
        <w:jc w:val="center"/>
        <w:rPr>
          <w:rFonts w:hint="eastAsia" w:ascii="方正小标宋_GBK" w:eastAsia="方正小标宋_GBK" w:cs="方正小标宋简体"/>
          <w:kern w:val="0"/>
          <w:sz w:val="44"/>
          <w:szCs w:val="44"/>
          <w:lang w:bidi="ar"/>
        </w:rPr>
      </w:pPr>
      <w:r>
        <w:rPr>
          <w:rFonts w:hint="eastAsia" w:ascii="方正小标宋_GBK" w:eastAsia="方正小标宋_GBK" w:cs="方正小标宋简体"/>
          <w:kern w:val="0"/>
          <w:sz w:val="44"/>
          <w:szCs w:val="44"/>
          <w:lang w:bidi="ar"/>
        </w:rPr>
        <w:t>江苏省第二类医疗器械优先注册程序</w:t>
      </w:r>
    </w:p>
    <w:p w14:paraId="15050E20">
      <w:pPr>
        <w:adjustRightInd w:val="0"/>
        <w:snapToGrid w:val="0"/>
        <w:spacing w:line="590" w:lineRule="exact"/>
        <w:jc w:val="center"/>
        <w:rPr>
          <w:rFonts w:hint="eastAsia"/>
        </w:rPr>
      </w:pPr>
    </w:p>
    <w:p w14:paraId="207D9DA2">
      <w:pPr>
        <w:widowControl/>
        <w:adjustRightInd w:val="0"/>
        <w:snapToGrid w:val="0"/>
        <w:spacing w:line="590" w:lineRule="exact"/>
        <w:ind w:firstLine="640" w:firstLineChars="200"/>
        <w:rPr>
          <w:rFonts w:hint="eastAsia" w:ascii="方正仿宋_GBK" w:eastAsia="方正仿宋_GBK"/>
        </w:rPr>
      </w:pPr>
      <w:r>
        <w:rPr>
          <w:rFonts w:hint="eastAsia" w:ascii="方正黑体_GBK" w:eastAsia="方正黑体_GBK"/>
          <w:kern w:val="0"/>
          <w:lang w:bidi="ar"/>
        </w:rPr>
        <w:t>第一条</w:t>
      </w:r>
      <w:r>
        <w:rPr>
          <w:rFonts w:hint="eastAsia" w:ascii="方正仿宋_GBK" w:eastAsia="方正仿宋_GBK"/>
          <w:kern w:val="0"/>
          <w:lang w:bidi="ar"/>
        </w:rPr>
        <w:t xml:space="preserve"> 为保障江苏省医疗器械临床使用需求，促进医疗器械创新成果转化，推动江苏省医疗器械产业高质量发展，根据《医疗器械监督管理条例》《医疗器械注册与备案管理办法》《体外诊断试剂注册与备案管理办法》《医疗器械优先审批程序》《境内第二类医疗器械注册审批操作规范的通知》（国药监械注〔2021〕54号）《关于促进全省生物医药产业高质量发展的若干政策措施》（苏政发〔2021〕59号）《关于全面推进药品医疗器械监管深层次改革促进医药产业高质量发展若干政策措施的通知》（苏政办规〔2025〕4号）等相关规定，结合本省实际</w:t>
      </w:r>
      <w:r>
        <w:rPr>
          <w:rFonts w:hint="eastAsia" w:ascii="方正仿宋_GBK" w:eastAsia="方正仿宋_GBK"/>
          <w:lang w:val="zh-CN" w:eastAsia="zh-CN"/>
        </w:rPr>
        <w:t>，制定本程序</w:t>
      </w:r>
      <w:r>
        <w:rPr>
          <w:rFonts w:hint="eastAsia" w:ascii="方正仿宋_GBK" w:eastAsia="方正仿宋_GBK"/>
          <w:kern w:val="0"/>
          <w:lang w:bidi="ar"/>
        </w:rPr>
        <w:t>。</w:t>
      </w:r>
    </w:p>
    <w:p w14:paraId="61E98DD7">
      <w:pPr>
        <w:widowControl/>
        <w:adjustRightInd w:val="0"/>
        <w:snapToGrid w:val="0"/>
        <w:spacing w:line="590" w:lineRule="exact"/>
        <w:ind w:firstLine="640" w:firstLineChars="200"/>
        <w:rPr>
          <w:rFonts w:hint="eastAsia" w:ascii="方正仿宋_GBK" w:eastAsia="方正仿宋_GBK" w:cs="仿宋"/>
          <w:kern w:val="0"/>
          <w:lang w:bidi="ar"/>
        </w:rPr>
      </w:pPr>
      <w:r>
        <w:rPr>
          <w:rFonts w:hint="eastAsia" w:ascii="方正黑体_GBK" w:eastAsia="方正黑体_GBK"/>
          <w:kern w:val="0"/>
          <w:lang w:bidi="ar"/>
        </w:rPr>
        <w:t>第二条</w:t>
      </w:r>
      <w:r>
        <w:rPr>
          <w:rFonts w:hint="eastAsia" w:ascii="方正仿宋_GBK" w:eastAsia="方正仿宋_GBK" w:cs="仿宋"/>
          <w:kern w:val="0"/>
          <w:lang w:bidi="ar"/>
        </w:rPr>
        <w:t xml:space="preserve"> 本程序适用于省内第二类医疗器械优先注册程序申请的审核及其注册。</w:t>
      </w:r>
    </w:p>
    <w:p w14:paraId="63A58792">
      <w:pPr>
        <w:adjustRightInd w:val="0"/>
        <w:snapToGrid w:val="0"/>
        <w:spacing w:line="590" w:lineRule="exact"/>
        <w:ind w:firstLine="640" w:firstLineChars="200"/>
        <w:rPr>
          <w:rFonts w:hint="eastAsia" w:ascii="方正仿宋_GBK" w:eastAsia="方正仿宋_GBK"/>
          <w:kern w:val="0"/>
          <w:lang w:bidi="ar"/>
        </w:rPr>
      </w:pPr>
      <w:r>
        <w:rPr>
          <w:rFonts w:hint="eastAsia" w:ascii="方正黑体_GBK" w:eastAsia="方正黑体_GBK"/>
          <w:kern w:val="0"/>
          <w:lang w:bidi="ar"/>
        </w:rPr>
        <w:t xml:space="preserve">第三条 </w:t>
      </w:r>
      <w:r>
        <w:rPr>
          <w:rFonts w:hint="eastAsia" w:ascii="方正仿宋_GBK" w:eastAsia="方正仿宋_GBK"/>
          <w:kern w:val="0"/>
          <w:lang w:bidi="ar"/>
        </w:rPr>
        <w:t>江苏省药品监督管理局（以下简称省局）主管江苏省第二类医疗器械优先注册。</w:t>
      </w:r>
    </w:p>
    <w:p w14:paraId="21CD8926">
      <w:pPr>
        <w:adjustRightInd w:val="0"/>
        <w:snapToGrid w:val="0"/>
        <w:spacing w:line="590" w:lineRule="exact"/>
        <w:ind w:firstLine="640" w:firstLineChars="200"/>
        <w:rPr>
          <w:rFonts w:hint="eastAsia" w:ascii="方正仿宋_GBK" w:eastAsia="方正仿宋_GBK" w:cs="仿宋"/>
          <w:kern w:val="0"/>
          <w:lang w:bidi="ar"/>
        </w:rPr>
      </w:pPr>
      <w:r>
        <w:rPr>
          <w:rFonts w:hint="eastAsia" w:ascii="方正仿宋_GBK" w:eastAsia="方正仿宋_GBK" w:cs="仿宋"/>
          <w:kern w:val="0"/>
          <w:lang w:bidi="ar"/>
        </w:rPr>
        <w:t>省局行政审批处负责第二类医疗器械优先注册工作的组织领导和统筹协调。</w:t>
      </w:r>
      <w:r>
        <w:rPr>
          <w:rFonts w:hint="eastAsia" w:ascii="方正仿宋_GBK" w:eastAsia="方正仿宋_GBK"/>
        </w:rPr>
        <w:t>国家药品监督管理局医疗器械技术审评中心医疗器械创新江苏服务站（设在江苏省药品监督管理局审评中心，以下简称创新服务站）受省局委托，承担对优先注册申请进行审核、决定、异议处理等具体工作。省局相关专业技术机构在各自职责范围内负责相关工作。</w:t>
      </w:r>
    </w:p>
    <w:p w14:paraId="5BD25D9F">
      <w:pPr>
        <w:widowControl/>
        <w:adjustRightInd w:val="0"/>
        <w:snapToGrid w:val="0"/>
        <w:spacing w:line="590" w:lineRule="exact"/>
        <w:ind w:firstLine="640" w:firstLineChars="200"/>
        <w:rPr>
          <w:rFonts w:hint="eastAsia" w:ascii="方正仿宋_GBK" w:eastAsia="方正仿宋_GBK"/>
        </w:rPr>
      </w:pPr>
      <w:r>
        <w:rPr>
          <w:rFonts w:hint="eastAsia" w:ascii="方正黑体_GBK" w:eastAsia="方正黑体_GBK"/>
          <w:kern w:val="0"/>
          <w:lang w:bidi="ar"/>
        </w:rPr>
        <w:t>第四条</w:t>
      </w:r>
      <w:r>
        <w:rPr>
          <w:rFonts w:hint="eastAsia" w:ascii="方正仿宋_GBK" w:eastAsia="方正仿宋_GBK"/>
          <w:kern w:val="0"/>
          <w:lang w:bidi="ar"/>
        </w:rPr>
        <w:t xml:space="preserve"> </w:t>
      </w:r>
      <w:r>
        <w:rPr>
          <w:rFonts w:hint="eastAsia" w:ascii="方正仿宋_GBK" w:eastAsia="方正仿宋_GBK"/>
        </w:rPr>
        <w:t>有下列情形之一的，申请人可在申请产品注册时，同步提出适用优先注册程序申请：</w:t>
      </w:r>
    </w:p>
    <w:p w14:paraId="326FF4D3">
      <w:pPr>
        <w:widowControl/>
        <w:shd w:val="clear" w:color="auto" w:fill="FFFFFF"/>
        <w:adjustRightInd w:val="0"/>
        <w:snapToGrid w:val="0"/>
        <w:spacing w:line="590" w:lineRule="exact"/>
        <w:ind w:firstLine="645"/>
        <w:rPr>
          <w:rFonts w:hint="eastAsia" w:ascii="方正仿宋_GBK" w:eastAsia="方正仿宋_GBK"/>
        </w:rPr>
      </w:pPr>
      <w:r>
        <w:rPr>
          <w:rFonts w:hint="eastAsia" w:ascii="方正仿宋_GBK" w:eastAsia="方正仿宋_GBK"/>
        </w:rPr>
        <w:t>（一）诊断或者治疗罕见病、恶性肿瘤且具有明显临床优势，诊断或者治疗老年人特有和多发疾病且目前尚无有效诊断或者治疗手段，专用于儿童且具有明显临床优势，或者临床急需且在我国尚无同品种产品获准注册的医疗器械；</w:t>
      </w:r>
    </w:p>
    <w:p w14:paraId="53AF9B76">
      <w:pPr>
        <w:widowControl/>
        <w:adjustRightInd w:val="0"/>
        <w:snapToGrid w:val="0"/>
        <w:spacing w:line="590" w:lineRule="exact"/>
        <w:ind w:firstLine="640" w:firstLineChars="200"/>
        <w:rPr>
          <w:rFonts w:hint="eastAsia" w:ascii="方正仿宋_GBK" w:eastAsia="方正仿宋_GBK"/>
          <w:kern w:val="0"/>
          <w:lang w:bidi="ar"/>
        </w:rPr>
      </w:pPr>
      <w:r>
        <w:rPr>
          <w:rFonts w:hint="eastAsia" w:ascii="方正仿宋_GBK" w:eastAsia="方正仿宋_GBK"/>
          <w:kern w:val="0"/>
          <w:lang w:bidi="ar"/>
        </w:rPr>
        <w:t>（二）省内已有同类产品上市，但产品供应不能满足突发公共卫生事件需要、未纳入应急程序的其他医疗器械；</w:t>
      </w:r>
    </w:p>
    <w:p w14:paraId="299878A6">
      <w:pPr>
        <w:widowControl/>
        <w:shd w:val="clear" w:color="auto" w:fill="FFFFFF"/>
        <w:adjustRightInd w:val="0"/>
        <w:snapToGrid w:val="0"/>
        <w:spacing w:line="590" w:lineRule="exact"/>
        <w:ind w:firstLine="645"/>
        <w:rPr>
          <w:rFonts w:hint="eastAsia" w:ascii="方正仿宋_GBK" w:eastAsia="方正仿宋_GBK"/>
        </w:rPr>
      </w:pPr>
      <w:r>
        <w:rPr>
          <w:rFonts w:hint="eastAsia" w:ascii="方正仿宋_GBK" w:eastAsia="方正仿宋_GBK"/>
        </w:rPr>
        <w:t>（三）列入国家或省部级科技重大专项、省部级重点研发计划的医疗器械；或申报的医疗器械获得国家级发明奖、科技进步奖、省部级科技进步奖二等奖以上；</w:t>
      </w:r>
    </w:p>
    <w:p w14:paraId="3375BB1C">
      <w:pPr>
        <w:pStyle w:val="2"/>
        <w:adjustRightInd w:val="0"/>
        <w:snapToGrid w:val="0"/>
        <w:spacing w:line="590" w:lineRule="exact"/>
        <w:ind w:firstLine="640" w:firstLineChars="200"/>
        <w:jc w:val="both"/>
        <w:rPr>
          <w:rFonts w:hint="eastAsia" w:ascii="方正仿宋_GBK" w:eastAsia="方正仿宋_GBK"/>
          <w:kern w:val="0"/>
          <w:lang w:bidi="ar"/>
        </w:rPr>
      </w:pPr>
      <w:r>
        <w:rPr>
          <w:rFonts w:hint="eastAsia" w:ascii="方正仿宋_GBK" w:eastAsia="方正仿宋_GBK"/>
          <w:kern w:val="0"/>
          <w:lang w:bidi="ar"/>
        </w:rPr>
        <w:t>（四）列入工业与信息化部或江苏省专精特新小巨人企业针对其具备核心竞争力的主导产品线；</w:t>
      </w:r>
    </w:p>
    <w:p w14:paraId="1290A6CA">
      <w:pPr>
        <w:pStyle w:val="2"/>
        <w:adjustRightInd w:val="0"/>
        <w:snapToGrid w:val="0"/>
        <w:spacing w:line="590" w:lineRule="exact"/>
        <w:ind w:firstLine="640" w:firstLineChars="200"/>
        <w:jc w:val="both"/>
        <w:rPr>
          <w:rFonts w:hint="eastAsia" w:ascii="方正仿宋_GBK" w:eastAsia="方正仿宋_GBK"/>
          <w:b/>
          <w:bCs/>
          <w:kern w:val="0"/>
          <w:u w:val="single"/>
          <w:lang w:bidi="ar"/>
        </w:rPr>
      </w:pPr>
      <w:r>
        <w:rPr>
          <w:rFonts w:hint="eastAsia" w:ascii="方正仿宋_GBK" w:eastAsia="方正仿宋_GBK"/>
          <w:kern w:val="0"/>
          <w:lang w:bidi="ar"/>
        </w:rPr>
        <w:t>（五）列入江苏省重大项目中的医疗器械；</w:t>
      </w:r>
    </w:p>
    <w:p w14:paraId="1034F497">
      <w:pPr>
        <w:pStyle w:val="2"/>
        <w:adjustRightInd w:val="0"/>
        <w:snapToGrid w:val="0"/>
        <w:spacing w:line="590" w:lineRule="exact"/>
        <w:ind w:firstLine="640" w:firstLineChars="200"/>
        <w:jc w:val="both"/>
        <w:rPr>
          <w:rFonts w:hint="eastAsia" w:ascii="方正仿宋_GBK" w:eastAsia="方正仿宋_GBK"/>
          <w:kern w:val="0"/>
          <w:lang w:bidi="ar"/>
        </w:rPr>
      </w:pPr>
      <w:r>
        <w:rPr>
          <w:rFonts w:hint="eastAsia" w:ascii="方正仿宋_GBK" w:eastAsia="方正仿宋_GBK"/>
          <w:kern w:val="0"/>
          <w:lang w:bidi="ar"/>
        </w:rPr>
        <w:t>（六）国家药品监督管理局和省局规定的其他可以适用优先注册程序的医疗器械。</w:t>
      </w:r>
    </w:p>
    <w:p w14:paraId="64974B56">
      <w:pPr>
        <w:widowControl/>
        <w:adjustRightInd w:val="0"/>
        <w:snapToGrid w:val="0"/>
        <w:spacing w:line="590" w:lineRule="exact"/>
        <w:ind w:firstLine="640" w:firstLineChars="200"/>
        <w:rPr>
          <w:rFonts w:hint="eastAsia" w:ascii="方正仿宋_GBK" w:eastAsia="方正仿宋_GBK"/>
          <w:kern w:val="0"/>
          <w:lang w:bidi="ar"/>
        </w:rPr>
      </w:pPr>
      <w:r>
        <w:rPr>
          <w:rFonts w:hint="eastAsia" w:ascii="方正黑体_GBK" w:eastAsia="方正黑体_GBK"/>
          <w:kern w:val="0"/>
          <w:lang w:bidi="ar"/>
        </w:rPr>
        <w:t>第五条</w:t>
      </w:r>
      <w:r>
        <w:rPr>
          <w:rFonts w:hint="eastAsia" w:ascii="方正仿宋_GBK" w:eastAsia="方正仿宋_GBK"/>
          <w:kern w:val="0"/>
          <w:lang w:bidi="ar"/>
        </w:rPr>
        <w:t xml:space="preserve"> 申请适用优先注册程序的，申请人应提交《江苏省第二类医疗器械优先注册申请表》（附件1）并按照《江苏省第二类医疗器械优先注册申报资料编写指南》（附件2）提供相应资料。</w:t>
      </w:r>
    </w:p>
    <w:p w14:paraId="04248600">
      <w:pPr>
        <w:widowControl/>
        <w:adjustRightInd w:val="0"/>
        <w:snapToGrid w:val="0"/>
        <w:spacing w:line="590" w:lineRule="exact"/>
        <w:ind w:firstLine="640" w:firstLineChars="200"/>
        <w:rPr>
          <w:rFonts w:hint="eastAsia" w:ascii="方正仿宋_GBK" w:eastAsia="方正仿宋_GBK"/>
          <w:kern w:val="0"/>
          <w:lang w:bidi="ar"/>
        </w:rPr>
      </w:pPr>
      <w:r>
        <w:rPr>
          <w:rFonts w:hint="eastAsia" w:ascii="方正仿宋_GBK" w:eastAsia="方正仿宋_GBK"/>
          <w:kern w:val="0"/>
          <w:lang w:bidi="ar"/>
        </w:rPr>
        <w:t>申请人通过江苏政务服务网登录“省药品监督管理局旗舰店”，在“场景式服务”中相应版块进行在线申报。</w:t>
      </w:r>
    </w:p>
    <w:p w14:paraId="6C85BC80">
      <w:pPr>
        <w:widowControl/>
        <w:adjustRightInd w:val="0"/>
        <w:snapToGrid w:val="0"/>
        <w:spacing w:line="590" w:lineRule="exact"/>
        <w:ind w:firstLine="640" w:firstLineChars="200"/>
        <w:rPr>
          <w:rFonts w:hint="eastAsia" w:ascii="方正仿宋_GBK" w:eastAsia="方正仿宋_GBK"/>
          <w:kern w:val="0"/>
          <w:lang w:bidi="ar"/>
        </w:rPr>
      </w:pPr>
      <w:r>
        <w:rPr>
          <w:rFonts w:hint="eastAsia" w:ascii="方正黑体_GBK" w:eastAsia="方正黑体_GBK"/>
          <w:kern w:val="0"/>
          <w:lang w:bidi="ar"/>
        </w:rPr>
        <w:t>第六条</w:t>
      </w:r>
      <w:r>
        <w:rPr>
          <w:rFonts w:hint="eastAsia" w:ascii="方正仿宋_GBK" w:eastAsia="方正仿宋_GBK"/>
          <w:kern w:val="0"/>
          <w:lang w:bidi="ar"/>
        </w:rPr>
        <w:t xml:space="preserve"> 省局受理适用优先注册程序申请后，将优先注册申请材料转至</w:t>
      </w:r>
      <w:r>
        <w:rPr>
          <w:rFonts w:hint="eastAsia" w:ascii="方正仿宋_GBK" w:eastAsia="方正仿宋_GBK"/>
        </w:rPr>
        <w:t>创新服务站</w:t>
      </w:r>
      <w:r>
        <w:rPr>
          <w:rFonts w:hint="eastAsia" w:ascii="方正仿宋_GBK" w:eastAsia="方正仿宋_GBK"/>
          <w:kern w:val="0"/>
          <w:lang w:bidi="ar"/>
        </w:rPr>
        <w:t>进行审核。</w:t>
      </w:r>
    </w:p>
    <w:p w14:paraId="210F8D12">
      <w:pPr>
        <w:widowControl/>
        <w:adjustRightInd w:val="0"/>
        <w:snapToGrid w:val="0"/>
        <w:spacing w:line="590" w:lineRule="exact"/>
        <w:ind w:firstLine="640" w:firstLineChars="200"/>
        <w:rPr>
          <w:rFonts w:hint="eastAsia" w:ascii="方正仿宋_GBK" w:eastAsia="方正仿宋_GBK"/>
          <w:kern w:val="0"/>
          <w:lang w:bidi="ar"/>
        </w:rPr>
      </w:pPr>
      <w:r>
        <w:rPr>
          <w:rFonts w:hint="eastAsia" w:ascii="方正黑体_GBK" w:eastAsia="方正黑体_GBK"/>
          <w:kern w:val="0"/>
          <w:lang w:bidi="ar"/>
        </w:rPr>
        <w:t>第七条</w:t>
      </w:r>
      <w:r>
        <w:rPr>
          <w:rFonts w:hint="eastAsia" w:ascii="方正仿宋_GBK" w:eastAsia="方正仿宋_GBK"/>
          <w:kern w:val="0"/>
          <w:lang w:bidi="ar"/>
        </w:rPr>
        <w:t xml:space="preserve"> 对于符合本程序第四条第（三）~（五）项情形的申请，</w:t>
      </w:r>
      <w:r>
        <w:rPr>
          <w:rFonts w:hint="eastAsia" w:ascii="方正仿宋_GBK" w:eastAsia="方正仿宋_GBK"/>
        </w:rPr>
        <w:t>创新服务站</w:t>
      </w:r>
      <w:r>
        <w:rPr>
          <w:rFonts w:hint="eastAsia" w:ascii="方正仿宋_GBK" w:eastAsia="方正仿宋_GBK"/>
          <w:kern w:val="0"/>
          <w:lang w:bidi="ar"/>
        </w:rPr>
        <w:t>自收到申请之日起5个工作日内进行审核作出是否予以优先注册的决定。</w:t>
      </w:r>
    </w:p>
    <w:p w14:paraId="3ED18B5F">
      <w:pPr>
        <w:widowControl/>
        <w:adjustRightInd w:val="0"/>
        <w:snapToGrid w:val="0"/>
        <w:spacing w:line="590" w:lineRule="exact"/>
        <w:ind w:firstLine="640" w:firstLineChars="200"/>
        <w:rPr>
          <w:rFonts w:hint="eastAsia" w:ascii="方正仿宋_GBK" w:eastAsia="方正仿宋_GBK"/>
          <w:kern w:val="0"/>
          <w:lang w:bidi="ar"/>
        </w:rPr>
      </w:pPr>
      <w:r>
        <w:rPr>
          <w:rFonts w:hint="eastAsia" w:ascii="方正仿宋_GBK" w:eastAsia="方正仿宋_GBK"/>
          <w:kern w:val="0"/>
          <w:lang w:bidi="ar"/>
        </w:rPr>
        <w:t>对于本程序第四条第（一）、（二）、（六）项情形的医疗器械优先注册申请，</w:t>
      </w:r>
      <w:r>
        <w:rPr>
          <w:rFonts w:hint="eastAsia" w:ascii="方正仿宋_GBK" w:eastAsia="方正仿宋_GBK"/>
        </w:rPr>
        <w:t>创新服务站应</w:t>
      </w:r>
      <w:r>
        <w:rPr>
          <w:rFonts w:hint="eastAsia" w:ascii="方正仿宋_GBK" w:eastAsia="方正仿宋_GBK"/>
          <w:kern w:val="0"/>
          <w:lang w:bidi="ar"/>
        </w:rPr>
        <w:t>组织专家论证审核并出具审核意见。</w:t>
      </w:r>
      <w:r>
        <w:rPr>
          <w:rFonts w:hint="eastAsia" w:ascii="方正仿宋_GBK" w:eastAsia="方正仿宋_GBK"/>
        </w:rPr>
        <w:t>创新服务站</w:t>
      </w:r>
      <w:r>
        <w:rPr>
          <w:rFonts w:hint="eastAsia" w:ascii="方正仿宋_GBK" w:eastAsia="方正仿宋_GBK"/>
          <w:kern w:val="0"/>
          <w:lang w:bidi="ar"/>
        </w:rPr>
        <w:t>根据专家审核意见，</w:t>
      </w:r>
      <w:r>
        <w:rPr>
          <w:rFonts w:hint="eastAsia" w:ascii="方正仿宋_GBK" w:eastAsia="方正仿宋_GBK" w:cs="仿宋"/>
          <w:kern w:val="0"/>
          <w:lang w:bidi="ar"/>
        </w:rPr>
        <w:t>自收到优先注册申请起10个工作日内</w:t>
      </w:r>
      <w:r>
        <w:rPr>
          <w:rFonts w:hint="eastAsia" w:ascii="方正仿宋_GBK" w:eastAsia="方正仿宋_GBK"/>
          <w:kern w:val="0"/>
          <w:lang w:bidi="ar"/>
        </w:rPr>
        <w:t>作出是否予以优先注册的决定（专家审核时间不计算在内）。</w:t>
      </w:r>
    </w:p>
    <w:p w14:paraId="3E4FA2AF">
      <w:pPr>
        <w:widowControl/>
        <w:adjustRightInd w:val="0"/>
        <w:snapToGrid w:val="0"/>
        <w:spacing w:line="590" w:lineRule="exact"/>
        <w:ind w:firstLine="640" w:firstLineChars="200"/>
        <w:rPr>
          <w:rFonts w:hint="eastAsia" w:ascii="方正仿宋_GBK" w:eastAsia="方正仿宋_GBK" w:cs="仿宋"/>
          <w:kern w:val="0"/>
          <w:lang w:bidi="ar"/>
        </w:rPr>
      </w:pPr>
      <w:r>
        <w:rPr>
          <w:rFonts w:hint="eastAsia" w:ascii="方正仿宋_GBK" w:eastAsia="方正仿宋_GBK" w:cs="仿宋"/>
          <w:kern w:val="0"/>
          <w:lang w:bidi="ar"/>
        </w:rPr>
        <w:t>10个工作日内不能作出决定的，经</w:t>
      </w:r>
      <w:r>
        <w:rPr>
          <w:rFonts w:hint="eastAsia" w:ascii="方正仿宋_GBK" w:eastAsia="方正仿宋_GBK"/>
        </w:rPr>
        <w:t>省局分管局领导</w:t>
      </w:r>
      <w:r>
        <w:rPr>
          <w:rFonts w:hint="eastAsia" w:ascii="方正仿宋_GBK" w:eastAsia="方正仿宋_GBK" w:cs="仿宋"/>
          <w:kern w:val="0"/>
          <w:lang w:bidi="ar"/>
        </w:rPr>
        <w:t>批准可以适当延长，并将理由及延长期限告知申请人，延长期限不得超过5个工作日。</w:t>
      </w:r>
    </w:p>
    <w:p w14:paraId="266D28BD">
      <w:pPr>
        <w:widowControl/>
        <w:adjustRightInd w:val="0"/>
        <w:snapToGrid w:val="0"/>
        <w:spacing w:line="590" w:lineRule="exact"/>
        <w:ind w:firstLine="640" w:firstLineChars="200"/>
        <w:rPr>
          <w:rFonts w:hint="eastAsia" w:ascii="方正仿宋_GBK" w:eastAsia="方正仿宋_GBK"/>
          <w:strike/>
          <w:kern w:val="0"/>
          <w:lang w:bidi="ar"/>
        </w:rPr>
      </w:pPr>
      <w:r>
        <w:rPr>
          <w:rFonts w:hint="eastAsia" w:ascii="方正黑体_GBK" w:eastAsia="方正黑体_GBK"/>
          <w:kern w:val="0"/>
          <w:lang w:bidi="ar"/>
        </w:rPr>
        <w:t>第八条</w:t>
      </w:r>
      <w:r>
        <w:rPr>
          <w:rFonts w:hint="eastAsia" w:ascii="方正仿宋_GBK" w:eastAsia="方正仿宋_GBK" w:cs="仿宋"/>
          <w:kern w:val="0"/>
          <w:lang w:bidi="ar"/>
        </w:rPr>
        <w:t xml:space="preserve"> </w:t>
      </w:r>
      <w:r>
        <w:rPr>
          <w:rFonts w:hint="eastAsia" w:ascii="方正仿宋_GBK" w:eastAsia="方正仿宋_GBK"/>
        </w:rPr>
        <w:t>创新服务站</w:t>
      </w:r>
      <w:r>
        <w:rPr>
          <w:rFonts w:hint="eastAsia" w:ascii="方正仿宋_GBK" w:eastAsia="方正仿宋_GBK" w:cs="仿宋"/>
          <w:kern w:val="0"/>
          <w:lang w:bidi="ar"/>
        </w:rPr>
        <w:t>将在拟定适用优先注册产品的名称、注册受理号、申请人等在省局网站上予以公示，</w:t>
      </w:r>
      <w:r>
        <w:rPr>
          <w:rFonts w:hint="eastAsia" w:ascii="方正仿宋_GBK" w:eastAsia="方正仿宋_GBK"/>
          <w:kern w:val="0"/>
          <w:lang w:bidi="ar"/>
        </w:rPr>
        <w:t>公示时间不少于10个工作日。</w:t>
      </w:r>
    </w:p>
    <w:p w14:paraId="40104FE0">
      <w:pPr>
        <w:widowControl/>
        <w:adjustRightInd w:val="0"/>
        <w:snapToGrid w:val="0"/>
        <w:spacing w:line="590" w:lineRule="exact"/>
        <w:ind w:firstLine="640" w:firstLineChars="200"/>
        <w:rPr>
          <w:rFonts w:hint="eastAsia" w:ascii="方正仿宋_GBK" w:eastAsia="方正仿宋_GBK" w:cs="仿宋"/>
          <w:kern w:val="0"/>
          <w:lang w:bidi="ar"/>
        </w:rPr>
      </w:pPr>
      <w:r>
        <w:rPr>
          <w:rFonts w:hint="eastAsia" w:ascii="方正黑体_GBK" w:eastAsia="方正黑体_GBK"/>
          <w:kern w:val="0"/>
          <w:lang w:bidi="ar"/>
        </w:rPr>
        <w:t xml:space="preserve">第九条 </w:t>
      </w:r>
      <w:r>
        <w:rPr>
          <w:rFonts w:hint="eastAsia" w:ascii="方正仿宋_GBK" w:eastAsia="方正仿宋_GBK" w:cs="仿宋"/>
          <w:kern w:val="0"/>
          <w:lang w:bidi="ar"/>
        </w:rPr>
        <w:t>公示期内无异议的申请即进入优先注册程序，并由</w:t>
      </w:r>
      <w:r>
        <w:rPr>
          <w:rFonts w:hint="eastAsia" w:ascii="方正仿宋_GBK" w:eastAsia="方正仿宋_GBK"/>
        </w:rPr>
        <w:t>创新服务站</w:t>
      </w:r>
      <w:r>
        <w:rPr>
          <w:rFonts w:hint="eastAsia" w:ascii="方正仿宋_GBK" w:eastAsia="方正仿宋_GBK" w:cs="仿宋"/>
          <w:kern w:val="0"/>
          <w:lang w:bidi="ar"/>
        </w:rPr>
        <w:t>告知申请人。</w:t>
      </w:r>
    </w:p>
    <w:p w14:paraId="2FA939B9">
      <w:pPr>
        <w:adjustRightInd w:val="0"/>
        <w:snapToGrid w:val="0"/>
        <w:spacing w:line="590" w:lineRule="exact"/>
        <w:ind w:firstLine="640" w:firstLineChars="200"/>
        <w:rPr>
          <w:rFonts w:hint="eastAsia" w:ascii="方正仿宋_GBK" w:eastAsia="方正仿宋_GBK"/>
          <w:u w:val="single"/>
        </w:rPr>
      </w:pPr>
      <w:r>
        <w:rPr>
          <w:rFonts w:hint="eastAsia" w:ascii="方正仿宋_GBK" w:eastAsia="方正仿宋_GBK"/>
        </w:rPr>
        <w:t>对公示内容有异议的，异议人可在公示期内提交书面意见并说明理由（《江苏省第二类医疗器械优先注册审核异议表》见附件3）。创新服务站应在收到异议起10个工作日内，对收到的相关意见进行研究，作出最终审查决定。</w:t>
      </w:r>
    </w:p>
    <w:p w14:paraId="5B364945">
      <w:pPr>
        <w:adjustRightInd w:val="0"/>
        <w:snapToGrid w:val="0"/>
        <w:spacing w:line="590" w:lineRule="exact"/>
        <w:ind w:firstLine="640" w:firstLineChars="200"/>
        <w:rPr>
          <w:rFonts w:hint="eastAsia" w:ascii="方正仿宋_GBK" w:eastAsia="方正仿宋_GBK"/>
          <w:kern w:val="0"/>
          <w:lang w:bidi="ar"/>
        </w:rPr>
      </w:pPr>
      <w:r>
        <w:rPr>
          <w:rFonts w:hint="eastAsia" w:ascii="方正黑体_GBK" w:eastAsia="方正黑体_GBK"/>
          <w:kern w:val="0"/>
          <w:lang w:bidi="ar"/>
        </w:rPr>
        <w:t>第十条</w:t>
      </w:r>
      <w:r>
        <w:rPr>
          <w:rFonts w:hint="eastAsia" w:ascii="方正仿宋_GBK" w:eastAsia="方正仿宋_GBK"/>
          <w:kern w:val="0"/>
          <w:lang w:bidi="ar"/>
        </w:rPr>
        <w:t xml:space="preserve"> 创新服务站应将审查决定告知申请人。对经审核不纳入优先注册程序的，</w:t>
      </w:r>
      <w:r>
        <w:rPr>
          <w:rFonts w:hint="eastAsia" w:ascii="方正仿宋_GBK" w:eastAsia="方正仿宋_GBK"/>
        </w:rPr>
        <w:t>创新服务站应将审查决定</w:t>
      </w:r>
      <w:r>
        <w:rPr>
          <w:rFonts w:hint="eastAsia" w:ascii="方正仿宋_GBK" w:eastAsia="方正仿宋_GBK"/>
          <w:kern w:val="0"/>
          <w:lang w:bidi="ar"/>
        </w:rPr>
        <w:t>和理由告知申请人，所申报的医疗器械注册申请将按照常规程序办理。</w:t>
      </w:r>
    </w:p>
    <w:p w14:paraId="6B99A219">
      <w:pPr>
        <w:widowControl/>
        <w:adjustRightInd w:val="0"/>
        <w:snapToGrid w:val="0"/>
        <w:spacing w:line="590" w:lineRule="exact"/>
        <w:ind w:firstLine="640" w:firstLineChars="200"/>
        <w:rPr>
          <w:rFonts w:hint="eastAsia" w:ascii="方正仿宋_GBK" w:eastAsia="方正仿宋_GBK"/>
        </w:rPr>
      </w:pPr>
      <w:r>
        <w:rPr>
          <w:rFonts w:hint="eastAsia" w:ascii="方正黑体_GBK" w:eastAsia="方正黑体_GBK"/>
          <w:kern w:val="0"/>
          <w:lang w:bidi="ar"/>
        </w:rPr>
        <w:t>第十一条</w:t>
      </w:r>
      <w:r>
        <w:rPr>
          <w:rFonts w:hint="eastAsia" w:ascii="方正仿宋_GBK" w:eastAsia="方正仿宋_GBK"/>
          <w:kern w:val="0"/>
          <w:lang w:bidi="ar"/>
        </w:rPr>
        <w:t xml:space="preserve"> 省局对适用优先注册程序的医疗器械注册申请，将</w:t>
      </w:r>
      <w:r>
        <w:rPr>
          <w:rFonts w:hint="eastAsia" w:ascii="方正仿宋_GBK" w:eastAsia="方正仿宋_GBK"/>
          <w:kern w:val="0"/>
        </w:rPr>
        <w:t>按照产品注册受理时间单独排序，</w:t>
      </w:r>
      <w:r>
        <w:rPr>
          <w:rFonts w:hint="eastAsia" w:ascii="方正仿宋_GBK" w:eastAsia="方正仿宋_GBK"/>
          <w:kern w:val="0"/>
          <w:lang w:bidi="ar"/>
        </w:rPr>
        <w:t>予以优先审评、优先检查、优先审批。技术审评需要申请人补正资料的</w:t>
      </w:r>
      <w:r>
        <w:rPr>
          <w:rFonts w:hint="eastAsia" w:ascii="方正仿宋_GBK" w:eastAsia="方正仿宋_GBK"/>
          <w:kern w:val="0"/>
        </w:rPr>
        <w:t>，</w:t>
      </w:r>
      <w:r>
        <w:rPr>
          <w:rFonts w:hint="eastAsia" w:ascii="方正仿宋_GBK" w:eastAsia="方正仿宋_GBK"/>
          <w:kern w:val="0"/>
          <w:lang w:bidi="ar"/>
        </w:rPr>
        <w:t>自收到补正资料之日起20个工作日内完成技术审评。</w:t>
      </w:r>
      <w:r>
        <w:rPr>
          <w:rFonts w:hint="eastAsia" w:ascii="仿宋" w:hAnsi="仿宋"/>
          <w:kern w:val="0"/>
          <w:lang w:bidi="ar"/>
        </w:rPr>
        <w:t>质量体系核查、行政审批流程时限较现有常规产品所用时限分别缩减40%</w:t>
      </w:r>
      <w:r>
        <w:rPr>
          <w:rFonts w:hint="eastAsia" w:ascii="方正仿宋_GBK" w:eastAsia="方正仿宋_GBK"/>
          <w:kern w:val="0"/>
          <w:lang w:bidi="ar"/>
        </w:rPr>
        <w:t>。</w:t>
      </w:r>
      <w:r>
        <w:rPr>
          <w:rFonts w:hint="eastAsia" w:ascii="方正仿宋_GBK" w:eastAsia="方正仿宋_GBK"/>
        </w:rPr>
        <w:t>特殊情况经省局分管局领导批准可适当延长，并</w:t>
      </w:r>
      <w:r>
        <w:rPr>
          <w:rFonts w:hint="eastAsia" w:ascii="方正仿宋_GBK" w:eastAsia="方正仿宋_GBK" w:cs="仿宋"/>
          <w:kern w:val="0"/>
          <w:lang w:bidi="ar"/>
        </w:rPr>
        <w:t>将理由</w:t>
      </w:r>
      <w:r>
        <w:rPr>
          <w:rFonts w:hint="eastAsia" w:ascii="方正仿宋_GBK" w:eastAsia="方正仿宋_GBK"/>
        </w:rPr>
        <w:t>告知申请人。</w:t>
      </w:r>
    </w:p>
    <w:p w14:paraId="062280AF">
      <w:pPr>
        <w:widowControl/>
        <w:adjustRightInd w:val="0"/>
        <w:snapToGrid w:val="0"/>
        <w:spacing w:line="590" w:lineRule="exact"/>
        <w:ind w:firstLine="640" w:firstLineChars="200"/>
        <w:rPr>
          <w:rFonts w:hint="eastAsia" w:ascii="方正仿宋_GBK" w:eastAsia="方正仿宋_GBK"/>
        </w:rPr>
      </w:pPr>
      <w:r>
        <w:rPr>
          <w:rFonts w:hint="eastAsia" w:ascii="方正黑体_GBK" w:eastAsia="方正黑体_GBK"/>
          <w:kern w:val="0"/>
          <w:lang w:bidi="ar"/>
        </w:rPr>
        <w:t>第十二条</w:t>
      </w:r>
      <w:r>
        <w:rPr>
          <w:rFonts w:hint="eastAsia" w:ascii="方正仿宋_GBK" w:eastAsia="方正仿宋_GBK"/>
          <w:kern w:val="0"/>
          <w:lang w:bidi="ar"/>
        </w:rPr>
        <w:t xml:space="preserve"> 适用优先注册程序的医疗器械注册申请，省局审评中心在审评过程中，应积极与申请人开展沟通交流，必要时可安排专项交流并形成纪要。</w:t>
      </w:r>
    </w:p>
    <w:p w14:paraId="1CE0EF3D">
      <w:pPr>
        <w:widowControl/>
        <w:adjustRightInd w:val="0"/>
        <w:snapToGrid w:val="0"/>
        <w:spacing w:line="590" w:lineRule="exact"/>
        <w:ind w:firstLine="640" w:firstLineChars="200"/>
        <w:rPr>
          <w:rFonts w:hint="eastAsia" w:ascii="方正仿宋_GBK" w:eastAsia="方正仿宋_GBK"/>
        </w:rPr>
      </w:pPr>
      <w:r>
        <w:rPr>
          <w:rFonts w:hint="eastAsia" w:ascii="方正黑体_GBK" w:eastAsia="方正黑体_GBK"/>
          <w:kern w:val="0"/>
          <w:lang w:bidi="ar"/>
        </w:rPr>
        <w:t>第十三条</w:t>
      </w:r>
      <w:r>
        <w:rPr>
          <w:rFonts w:hint="eastAsia" w:ascii="方正仿宋_GBK" w:eastAsia="方正仿宋_GBK"/>
          <w:kern w:val="0"/>
          <w:lang w:bidi="ar"/>
        </w:rPr>
        <w:t xml:space="preserve"> </w:t>
      </w:r>
      <w:r>
        <w:rPr>
          <w:rFonts w:hint="eastAsia" w:ascii="方正仿宋_GBK" w:eastAsia="方正仿宋_GBK" w:cs="仿宋"/>
          <w:kern w:val="0"/>
          <w:lang w:bidi="ar"/>
        </w:rPr>
        <w:t>经省局或国家药品监督管理局审核纳入优先注册程序并获准上市的医疗器械，省局对</w:t>
      </w:r>
      <w:r>
        <w:rPr>
          <w:rFonts w:hint="eastAsia" w:ascii="方正仿宋_GBK" w:eastAsia="方正仿宋_GBK"/>
        </w:rPr>
        <w:t>其相关的生产许可申请予以优先办理。</w:t>
      </w:r>
    </w:p>
    <w:p w14:paraId="5E830F8B">
      <w:pPr>
        <w:widowControl/>
        <w:adjustRightInd w:val="0"/>
        <w:snapToGrid w:val="0"/>
        <w:spacing w:line="590" w:lineRule="exact"/>
        <w:ind w:firstLine="640" w:firstLineChars="200"/>
        <w:rPr>
          <w:rFonts w:hint="eastAsia" w:ascii="方正仿宋_GBK" w:eastAsia="方正仿宋_GBK" w:cs="仿宋"/>
          <w:kern w:val="0"/>
          <w:lang w:bidi="ar"/>
        </w:rPr>
      </w:pPr>
      <w:r>
        <w:rPr>
          <w:rFonts w:hint="eastAsia" w:ascii="方正黑体_GBK" w:eastAsia="方正黑体_GBK"/>
          <w:kern w:val="0"/>
          <w:lang w:bidi="ar"/>
        </w:rPr>
        <w:t>第十四条</w:t>
      </w:r>
      <w:r>
        <w:rPr>
          <w:rFonts w:hint="eastAsia" w:ascii="方正仿宋_GBK" w:eastAsia="方正仿宋_GBK"/>
          <w:kern w:val="0"/>
          <w:lang w:bidi="ar"/>
        </w:rPr>
        <w:t xml:space="preserve"> </w:t>
      </w:r>
      <w:r>
        <w:rPr>
          <w:rFonts w:hint="eastAsia" w:ascii="方正仿宋_GBK" w:eastAsia="方正仿宋_GBK" w:cs="仿宋"/>
          <w:kern w:val="0"/>
          <w:lang w:bidi="ar"/>
        </w:rPr>
        <w:t>对于</w:t>
      </w:r>
      <w:r>
        <w:rPr>
          <w:rFonts w:hint="eastAsia" w:ascii="方正仿宋_GBK" w:eastAsia="方正仿宋_GBK"/>
          <w:kern w:val="0"/>
          <w:lang w:bidi="ar"/>
        </w:rPr>
        <w:t>纳入优先注册程序的医疗器械注册申请</w:t>
      </w:r>
      <w:r>
        <w:rPr>
          <w:rFonts w:hint="eastAsia" w:ascii="方正仿宋_GBK" w:eastAsia="方正仿宋_GBK" w:cs="仿宋"/>
          <w:kern w:val="0"/>
          <w:lang w:bidi="ar"/>
        </w:rPr>
        <w:t>，如在省局相关技术机构开展补充注册检验的，有关单位应优先检验、加强技术服务和指导，并优先出具检验报告。</w:t>
      </w:r>
    </w:p>
    <w:p w14:paraId="6E9CB091">
      <w:pPr>
        <w:widowControl/>
        <w:adjustRightInd w:val="0"/>
        <w:snapToGrid w:val="0"/>
        <w:spacing w:line="590" w:lineRule="exact"/>
        <w:ind w:firstLine="640" w:firstLineChars="200"/>
        <w:rPr>
          <w:rFonts w:hint="eastAsia" w:ascii="方正仿宋_GBK" w:eastAsia="方正仿宋_GBK"/>
        </w:rPr>
      </w:pPr>
      <w:r>
        <w:rPr>
          <w:rFonts w:hint="eastAsia" w:ascii="方正黑体_GBK" w:eastAsia="方正黑体_GBK"/>
          <w:kern w:val="0"/>
          <w:lang w:bidi="ar"/>
        </w:rPr>
        <w:t>第十五条</w:t>
      </w:r>
      <w:r>
        <w:rPr>
          <w:rFonts w:hint="eastAsia" w:ascii="方正仿宋_GBK" w:eastAsia="方正仿宋_GBK"/>
          <w:kern w:val="0"/>
          <w:lang w:bidi="ar"/>
        </w:rPr>
        <w:t xml:space="preserve"> 已经按照国家药品监督管理局《创新医疗器械特别审查程序》《江苏省第二类医疗器械创新产品注册程序》</w:t>
      </w:r>
      <w:r>
        <w:rPr>
          <w:rFonts w:hint="eastAsia" w:ascii="方正仿宋_GBK" w:eastAsia="方正仿宋_GBK"/>
        </w:rPr>
        <w:t>及《江苏省第二类医疗器械应急注册程序》</w:t>
      </w:r>
      <w:r>
        <w:rPr>
          <w:rFonts w:hint="eastAsia" w:ascii="方正仿宋_GBK" w:eastAsia="方正仿宋_GBK"/>
          <w:kern w:val="0"/>
          <w:lang w:bidi="ar"/>
        </w:rPr>
        <w:t>进行审批的注册申请项目，不执行本程序。</w:t>
      </w:r>
    </w:p>
    <w:p w14:paraId="637D8985">
      <w:pPr>
        <w:widowControl/>
        <w:adjustRightInd w:val="0"/>
        <w:snapToGrid w:val="0"/>
        <w:spacing w:line="590" w:lineRule="exact"/>
        <w:ind w:firstLine="640" w:firstLineChars="200"/>
        <w:rPr>
          <w:rFonts w:hint="eastAsia" w:ascii="方正仿宋_GBK" w:eastAsia="方正仿宋_GBK" w:cs="仿宋"/>
          <w:kern w:val="0"/>
          <w:lang w:bidi="ar"/>
        </w:rPr>
      </w:pPr>
      <w:r>
        <w:rPr>
          <w:rFonts w:hint="eastAsia" w:ascii="方正黑体_GBK" w:eastAsia="方正黑体_GBK"/>
          <w:kern w:val="0"/>
          <w:lang w:bidi="ar"/>
        </w:rPr>
        <w:t>第十六条</w:t>
      </w:r>
      <w:r>
        <w:rPr>
          <w:rFonts w:hint="eastAsia" w:ascii="方正仿宋_GBK" w:eastAsia="方正仿宋_GBK"/>
          <w:kern w:val="0"/>
          <w:lang w:bidi="ar"/>
        </w:rPr>
        <w:t xml:space="preserve"> </w:t>
      </w:r>
      <w:r>
        <w:rPr>
          <w:rFonts w:hint="eastAsia" w:ascii="方正仿宋_GBK" w:eastAsia="方正仿宋_GBK"/>
        </w:rPr>
        <w:t>本程序自2026年</w:t>
      </w:r>
      <w:r>
        <w:rPr>
          <w:rFonts w:hint="eastAsia" w:ascii="方正仿宋_GBK"/>
          <w:lang w:val="en-US" w:eastAsia="zh-CN"/>
        </w:rPr>
        <w:t>10</w:t>
      </w:r>
      <w:r>
        <w:rPr>
          <w:rFonts w:hint="eastAsia" w:ascii="方正仿宋_GBK" w:eastAsia="方正仿宋_GBK"/>
        </w:rPr>
        <w:t>月</w:t>
      </w:r>
      <w:r>
        <w:rPr>
          <w:rFonts w:hint="eastAsia" w:ascii="方正仿宋_GBK"/>
          <w:lang w:val="en-US" w:eastAsia="zh-CN"/>
        </w:rPr>
        <w:t>11</w:t>
      </w:r>
      <w:r>
        <w:rPr>
          <w:rFonts w:hint="eastAsia" w:ascii="方正仿宋_GBK" w:eastAsia="方正仿宋_GBK"/>
        </w:rPr>
        <w:t>日施行，有效期至2031年</w:t>
      </w:r>
      <w:r>
        <w:rPr>
          <w:rFonts w:hint="eastAsia" w:ascii="方正仿宋_GBK"/>
          <w:lang w:val="en-US" w:eastAsia="zh-CN"/>
        </w:rPr>
        <w:t>10</w:t>
      </w:r>
      <w:r>
        <w:rPr>
          <w:rFonts w:hint="eastAsia" w:ascii="方正仿宋_GBK" w:eastAsia="方正仿宋_GBK"/>
        </w:rPr>
        <w:t>月</w:t>
      </w:r>
      <w:r>
        <w:rPr>
          <w:rFonts w:hint="eastAsia" w:ascii="方正仿宋_GBK"/>
          <w:lang w:val="en-US" w:eastAsia="zh-CN"/>
        </w:rPr>
        <w:t>10</w:t>
      </w:r>
      <w:r>
        <w:rPr>
          <w:rFonts w:hint="eastAsia" w:ascii="方正仿宋_GBK" w:eastAsia="方正仿宋_GBK"/>
        </w:rPr>
        <w:t>日。</w:t>
      </w:r>
    </w:p>
    <w:p w14:paraId="5713FF66">
      <w:pPr>
        <w:pStyle w:val="5"/>
        <w:keepNext w:val="0"/>
        <w:keepLines w:val="0"/>
        <w:pageBreakBefore w:val="0"/>
        <w:widowControl/>
        <w:suppressLineNumbers w:val="0"/>
        <w:suppressAutoHyphens w:val="0"/>
        <w:adjustRightInd w:val="0"/>
        <w:snapToGrid w:val="0"/>
        <w:spacing w:before="0" w:beforeAutospacing="0" w:after="0" w:afterAutospacing="0" w:line="590" w:lineRule="exact"/>
        <w:ind w:firstLine="640" w:firstLineChars="200"/>
        <w:rPr>
          <w:rFonts w:hint="eastAsia" w:ascii="方正仿宋_GBK" w:eastAsia="方正仿宋_GBK"/>
          <w:sz w:val="32"/>
          <w:szCs w:val="32"/>
        </w:rPr>
      </w:pPr>
    </w:p>
    <w:p w14:paraId="67D2ED1B">
      <w:pPr>
        <w:pStyle w:val="5"/>
        <w:keepNext w:val="0"/>
        <w:keepLines w:val="0"/>
        <w:pageBreakBefore w:val="0"/>
        <w:widowControl/>
        <w:suppressLineNumbers w:val="0"/>
        <w:suppressAutoHyphens w:val="0"/>
        <w:adjustRightInd w:val="0"/>
        <w:snapToGrid w:val="0"/>
        <w:spacing w:before="0" w:beforeAutospacing="0" w:after="0" w:afterAutospacing="0" w:line="590" w:lineRule="exact"/>
        <w:ind w:firstLine="640" w:firstLineChars="200"/>
        <w:rPr>
          <w:rFonts w:hint="eastAsia" w:ascii="方正仿宋_GBK" w:eastAsia="方正仿宋_GBK"/>
          <w:sz w:val="32"/>
          <w:szCs w:val="32"/>
        </w:rPr>
      </w:pPr>
      <w:r>
        <w:rPr>
          <w:rFonts w:hint="eastAsia" w:ascii="方正仿宋_GBK" w:eastAsia="方正仿宋_GBK"/>
          <w:sz w:val="32"/>
          <w:szCs w:val="32"/>
        </w:rPr>
        <w:t>附件：1.江苏省第二类医疗器械优先注册申请表</w:t>
      </w:r>
    </w:p>
    <w:p w14:paraId="4BF69B13">
      <w:pPr>
        <w:pStyle w:val="5"/>
        <w:keepNext w:val="0"/>
        <w:keepLines w:val="0"/>
        <w:pageBreakBefore w:val="0"/>
        <w:widowControl/>
        <w:suppressLineNumbers w:val="0"/>
        <w:suppressAutoHyphens w:val="0"/>
        <w:adjustRightInd w:val="0"/>
        <w:snapToGrid w:val="0"/>
        <w:spacing w:before="0" w:beforeAutospacing="0" w:after="0" w:afterAutospacing="0" w:line="590" w:lineRule="exact"/>
        <w:ind w:left="2035" w:hanging="2035" w:hangingChars="636"/>
        <w:rPr>
          <w:rFonts w:hint="eastAsia" w:ascii="方正仿宋_GBK" w:eastAsia="方正仿宋_GBK"/>
          <w:bCs/>
          <w:sz w:val="32"/>
          <w:szCs w:val="32"/>
        </w:rPr>
      </w:pPr>
      <w:r>
        <w:rPr>
          <w:rFonts w:hint="eastAsia" w:ascii="方正仿宋_GBK" w:eastAsia="方正仿宋_GBK"/>
          <w:bCs/>
          <w:sz w:val="32"/>
          <w:szCs w:val="32"/>
        </w:rPr>
        <w:t xml:space="preserve">          2.</w:t>
      </w:r>
      <w:r>
        <w:rPr>
          <w:rFonts w:hint="eastAsia" w:ascii="方正仿宋_GBK" w:eastAsia="方正仿宋_GBK"/>
          <w:bCs/>
          <w:w w:val="98"/>
          <w:sz w:val="32"/>
          <w:szCs w:val="32"/>
        </w:rPr>
        <w:t>江苏省第二类医疗器械优先注册申报资料编写指南</w:t>
      </w:r>
    </w:p>
    <w:p w14:paraId="0E3A0A00">
      <w:pPr>
        <w:pStyle w:val="5"/>
        <w:keepNext w:val="0"/>
        <w:keepLines w:val="0"/>
        <w:pageBreakBefore w:val="0"/>
        <w:widowControl/>
        <w:suppressLineNumbers w:val="0"/>
        <w:suppressAutoHyphens w:val="0"/>
        <w:adjustRightInd w:val="0"/>
        <w:snapToGrid w:val="0"/>
        <w:spacing w:before="0" w:beforeAutospacing="0" w:after="0" w:afterAutospacing="0" w:line="590" w:lineRule="exact"/>
        <w:ind w:firstLine="640" w:firstLineChars="200"/>
        <w:rPr>
          <w:rFonts w:hint="eastAsia" w:ascii="方正黑体_GBK" w:eastAsia="方正黑体_GBK" w:cs="方正黑体_GBK"/>
          <w:kern w:val="0"/>
          <w:sz w:val="32"/>
          <w:szCs w:val="32"/>
          <w:lang w:bidi="ar"/>
        </w:rPr>
      </w:pPr>
      <w:r>
        <w:rPr>
          <w:rFonts w:hint="eastAsia" w:ascii="方正仿宋_GBK" w:eastAsia="方正仿宋_GBK"/>
          <w:sz w:val="32"/>
          <w:szCs w:val="32"/>
        </w:rPr>
        <w:t xml:space="preserve">      3.江苏省第二类医疗器械优先注册审核异议表</w:t>
      </w:r>
      <w:r>
        <w:rPr>
          <w:kern w:val="0"/>
          <w:lang w:bidi="ar"/>
        </w:rPr>
        <w:br w:type="page"/>
      </w:r>
      <w:r>
        <w:rPr>
          <w:rFonts w:hint="eastAsia" w:ascii="方正黑体_GBK" w:eastAsia="方正黑体_GBK" w:cs="方正黑体_GBK"/>
          <w:kern w:val="0"/>
          <w:sz w:val="32"/>
          <w:szCs w:val="32"/>
          <w:lang w:bidi="ar"/>
        </w:rPr>
        <w:t>附1</w:t>
      </w:r>
    </w:p>
    <w:p w14:paraId="1C302A79">
      <w:pPr>
        <w:pStyle w:val="5"/>
        <w:keepNext w:val="0"/>
        <w:keepLines w:val="0"/>
        <w:pageBreakBefore w:val="0"/>
        <w:widowControl/>
        <w:suppressLineNumbers w:val="0"/>
        <w:suppressAutoHyphens w:val="0"/>
        <w:adjustRightInd w:val="0"/>
        <w:snapToGrid w:val="0"/>
        <w:spacing w:before="0" w:beforeAutospacing="0" w:after="0" w:afterAutospacing="0" w:line="590" w:lineRule="exact"/>
        <w:ind w:firstLine="640" w:firstLineChars="200"/>
        <w:rPr>
          <w:rFonts w:hint="eastAsia" w:ascii="方正黑体_GBK" w:eastAsia="方正黑体_GBK" w:cs="方正黑体_GBK"/>
          <w:sz w:val="32"/>
          <w:szCs w:val="32"/>
          <w:lang w:bidi="ar"/>
        </w:rPr>
      </w:pPr>
    </w:p>
    <w:p w14:paraId="4BC37B2F">
      <w:pPr>
        <w:widowControl/>
        <w:adjustRightInd w:val="0"/>
        <w:snapToGrid w:val="0"/>
        <w:spacing w:line="590" w:lineRule="exact"/>
        <w:jc w:val="center"/>
        <w:rPr>
          <w:rFonts w:hint="eastAsia" w:ascii="方正小标宋_GBK" w:eastAsia="方正小标宋_GBK" w:cs="方正小标宋_GBK"/>
          <w:spacing w:val="-4"/>
          <w:kern w:val="0"/>
          <w:sz w:val="44"/>
          <w:szCs w:val="44"/>
          <w:lang w:bidi="ar"/>
        </w:rPr>
      </w:pPr>
      <w:r>
        <w:rPr>
          <w:rFonts w:hint="eastAsia" w:ascii="方正小标宋_GBK" w:eastAsia="方正小标宋_GBK" w:cs="方正小标宋_GBK"/>
          <w:spacing w:val="-4"/>
          <w:kern w:val="0"/>
          <w:sz w:val="44"/>
          <w:szCs w:val="44"/>
          <w:lang w:bidi="ar"/>
        </w:rPr>
        <w:t>江苏省第二类医疗器械优先注册申请表</w:t>
      </w:r>
    </w:p>
    <w:p w14:paraId="445F7B9B">
      <w:pPr>
        <w:widowControl/>
        <w:adjustRightInd w:val="0"/>
        <w:snapToGrid w:val="0"/>
        <w:spacing w:line="590" w:lineRule="exact"/>
        <w:jc w:val="center"/>
        <w:rPr>
          <w:rFonts w:hint="eastAsia" w:ascii="方正小标宋_GBK" w:eastAsia="方正小标宋_GBK" w:cs="方正小标宋_GBK"/>
          <w:spacing w:val="-4"/>
          <w:kern w:val="0"/>
          <w:sz w:val="44"/>
          <w:szCs w:val="44"/>
          <w:lang w:bidi="ar"/>
        </w:rPr>
      </w:pPr>
    </w:p>
    <w:tbl>
      <w:tblPr>
        <w:tblStyle w:val="6"/>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565"/>
        <w:gridCol w:w="2300"/>
        <w:gridCol w:w="2300"/>
        <w:gridCol w:w="2300"/>
      </w:tblGrid>
      <w:tr w14:paraId="1DA5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565" w:type="dxa"/>
            <w:noWrap w:val="0"/>
            <w:tcMar>
              <w:top w:w="0" w:type="dxa"/>
              <w:left w:w="108" w:type="dxa"/>
              <w:bottom w:w="0" w:type="dxa"/>
              <w:right w:w="108" w:type="dxa"/>
            </w:tcMar>
            <w:vAlign w:val="center"/>
          </w:tcPr>
          <w:p w14:paraId="60AA6EDA">
            <w:pPr>
              <w:widowControl/>
              <w:spacing w:line="520" w:lineRule="atLeast"/>
              <w:jc w:val="center"/>
            </w:pPr>
            <w:r>
              <w:rPr>
                <w:rFonts w:hint="eastAsia" w:ascii="仿宋" w:hAnsi="仿宋" w:cs="仿宋"/>
                <w:kern w:val="0"/>
                <w:sz w:val="28"/>
                <w:szCs w:val="28"/>
                <w:lang w:bidi="ar"/>
              </w:rPr>
              <w:t>产品名称</w:t>
            </w:r>
          </w:p>
        </w:tc>
        <w:tc>
          <w:tcPr>
            <w:tcW w:w="6900" w:type="dxa"/>
            <w:gridSpan w:val="3"/>
            <w:noWrap w:val="0"/>
            <w:tcMar>
              <w:top w:w="0" w:type="dxa"/>
              <w:left w:w="108" w:type="dxa"/>
              <w:bottom w:w="0" w:type="dxa"/>
              <w:right w:w="108" w:type="dxa"/>
            </w:tcMar>
            <w:vAlign w:val="center"/>
          </w:tcPr>
          <w:p w14:paraId="7893A04D">
            <w:pPr>
              <w:widowControl/>
              <w:spacing w:line="520" w:lineRule="atLeast"/>
              <w:jc w:val="center"/>
            </w:pPr>
          </w:p>
        </w:tc>
      </w:tr>
      <w:tr w14:paraId="5A19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4" w:hRule="atLeast"/>
          <w:jc w:val="center"/>
        </w:trPr>
        <w:tc>
          <w:tcPr>
            <w:tcW w:w="2565" w:type="dxa"/>
            <w:noWrap w:val="0"/>
            <w:tcMar>
              <w:top w:w="0" w:type="dxa"/>
              <w:left w:w="108" w:type="dxa"/>
              <w:bottom w:w="0" w:type="dxa"/>
              <w:right w:w="108" w:type="dxa"/>
            </w:tcMar>
            <w:vAlign w:val="center"/>
          </w:tcPr>
          <w:p w14:paraId="41C72D07">
            <w:pPr>
              <w:widowControl/>
              <w:spacing w:line="520" w:lineRule="atLeast"/>
              <w:jc w:val="center"/>
            </w:pPr>
            <w:r>
              <w:rPr>
                <w:rFonts w:hint="eastAsia" w:ascii="仿宋" w:hAnsi="仿宋" w:cs="仿宋"/>
                <w:kern w:val="0"/>
                <w:sz w:val="28"/>
                <w:szCs w:val="28"/>
                <w:lang w:bidi="ar"/>
              </w:rPr>
              <w:t>申请人</w:t>
            </w:r>
          </w:p>
        </w:tc>
        <w:tc>
          <w:tcPr>
            <w:tcW w:w="6900" w:type="dxa"/>
            <w:gridSpan w:val="3"/>
            <w:noWrap w:val="0"/>
            <w:tcMar>
              <w:top w:w="0" w:type="dxa"/>
              <w:left w:w="108" w:type="dxa"/>
              <w:bottom w:w="0" w:type="dxa"/>
              <w:right w:w="108" w:type="dxa"/>
            </w:tcMar>
            <w:vAlign w:val="center"/>
          </w:tcPr>
          <w:p w14:paraId="65C83FC9">
            <w:pPr>
              <w:widowControl/>
              <w:spacing w:line="520" w:lineRule="atLeast"/>
              <w:jc w:val="center"/>
            </w:pPr>
          </w:p>
        </w:tc>
      </w:tr>
      <w:tr w14:paraId="5EC4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4" w:hRule="atLeast"/>
          <w:jc w:val="center"/>
        </w:trPr>
        <w:tc>
          <w:tcPr>
            <w:tcW w:w="2565" w:type="dxa"/>
            <w:noWrap w:val="0"/>
            <w:tcMar>
              <w:top w:w="0" w:type="dxa"/>
              <w:left w:w="108" w:type="dxa"/>
              <w:bottom w:w="0" w:type="dxa"/>
              <w:right w:w="108" w:type="dxa"/>
            </w:tcMar>
            <w:vAlign w:val="center"/>
          </w:tcPr>
          <w:p w14:paraId="14DFFADC">
            <w:pPr>
              <w:widowControl/>
              <w:spacing w:line="520" w:lineRule="atLeast"/>
              <w:jc w:val="center"/>
            </w:pPr>
            <w:r>
              <w:rPr>
                <w:rFonts w:hint="eastAsia" w:ascii="仿宋" w:hAnsi="仿宋" w:cs="仿宋"/>
                <w:kern w:val="0"/>
                <w:sz w:val="28"/>
                <w:szCs w:val="28"/>
                <w:lang w:bidi="ar"/>
              </w:rPr>
              <w:t>规格型号</w:t>
            </w:r>
          </w:p>
        </w:tc>
        <w:tc>
          <w:tcPr>
            <w:tcW w:w="6900" w:type="dxa"/>
            <w:gridSpan w:val="3"/>
            <w:noWrap w:val="0"/>
            <w:tcMar>
              <w:top w:w="0" w:type="dxa"/>
              <w:left w:w="108" w:type="dxa"/>
              <w:bottom w:w="0" w:type="dxa"/>
              <w:right w:w="108" w:type="dxa"/>
            </w:tcMar>
            <w:vAlign w:val="center"/>
          </w:tcPr>
          <w:p w14:paraId="3385790A">
            <w:pPr>
              <w:widowControl/>
              <w:spacing w:line="520" w:lineRule="atLeast"/>
              <w:jc w:val="center"/>
              <w:rPr>
                <w:dstrike/>
              </w:rPr>
            </w:pPr>
          </w:p>
        </w:tc>
      </w:tr>
      <w:tr w14:paraId="682D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3" w:hRule="atLeast"/>
          <w:jc w:val="center"/>
        </w:trPr>
        <w:tc>
          <w:tcPr>
            <w:tcW w:w="2565" w:type="dxa"/>
            <w:noWrap w:val="0"/>
            <w:tcMar>
              <w:top w:w="0" w:type="dxa"/>
              <w:left w:w="108" w:type="dxa"/>
              <w:bottom w:w="0" w:type="dxa"/>
              <w:right w:w="108" w:type="dxa"/>
            </w:tcMar>
            <w:vAlign w:val="center"/>
          </w:tcPr>
          <w:p w14:paraId="2B563969">
            <w:pPr>
              <w:widowControl/>
              <w:spacing w:line="520" w:lineRule="atLeast"/>
              <w:jc w:val="center"/>
            </w:pPr>
            <w:r>
              <w:rPr>
                <w:rFonts w:hint="eastAsia" w:ascii="仿宋" w:hAnsi="仿宋" w:cs="仿宋"/>
                <w:kern w:val="0"/>
                <w:sz w:val="28"/>
                <w:szCs w:val="28"/>
                <w:lang w:bidi="ar"/>
              </w:rPr>
              <w:t>联系人</w:t>
            </w:r>
          </w:p>
        </w:tc>
        <w:tc>
          <w:tcPr>
            <w:tcW w:w="2300" w:type="dxa"/>
            <w:noWrap w:val="0"/>
            <w:tcMar>
              <w:top w:w="0" w:type="dxa"/>
              <w:left w:w="108" w:type="dxa"/>
              <w:bottom w:w="0" w:type="dxa"/>
              <w:right w:w="108" w:type="dxa"/>
            </w:tcMar>
            <w:vAlign w:val="center"/>
          </w:tcPr>
          <w:p w14:paraId="5549B616">
            <w:pPr>
              <w:widowControl/>
              <w:spacing w:line="520" w:lineRule="atLeast"/>
              <w:jc w:val="center"/>
            </w:pPr>
          </w:p>
        </w:tc>
        <w:tc>
          <w:tcPr>
            <w:tcW w:w="2300" w:type="dxa"/>
            <w:noWrap w:val="0"/>
            <w:tcMar>
              <w:top w:w="0" w:type="dxa"/>
              <w:left w:w="108" w:type="dxa"/>
              <w:bottom w:w="0" w:type="dxa"/>
              <w:right w:w="108" w:type="dxa"/>
            </w:tcMar>
            <w:vAlign w:val="center"/>
          </w:tcPr>
          <w:p w14:paraId="331B022C">
            <w:pPr>
              <w:widowControl/>
              <w:spacing w:line="520" w:lineRule="atLeast"/>
              <w:jc w:val="center"/>
            </w:pPr>
            <w:r>
              <w:rPr>
                <w:rFonts w:hint="eastAsia" w:ascii="仿宋" w:hAnsi="仿宋" w:cs="仿宋"/>
                <w:kern w:val="0"/>
                <w:sz w:val="28"/>
                <w:szCs w:val="28"/>
                <w:lang w:bidi="ar"/>
              </w:rPr>
              <w:t>联系方式</w:t>
            </w:r>
          </w:p>
        </w:tc>
        <w:tc>
          <w:tcPr>
            <w:tcW w:w="2300" w:type="dxa"/>
            <w:noWrap w:val="0"/>
            <w:tcMar>
              <w:top w:w="0" w:type="dxa"/>
              <w:left w:w="108" w:type="dxa"/>
              <w:bottom w:w="0" w:type="dxa"/>
              <w:right w:w="108" w:type="dxa"/>
            </w:tcMar>
            <w:vAlign w:val="center"/>
          </w:tcPr>
          <w:p w14:paraId="1D3A2E84">
            <w:pPr>
              <w:widowControl/>
              <w:spacing w:line="520" w:lineRule="atLeast"/>
              <w:jc w:val="center"/>
            </w:pPr>
            <w:r>
              <w:rPr>
                <w:kern w:val="0"/>
                <w:sz w:val="28"/>
                <w:szCs w:val="28"/>
                <w:lang w:bidi="ar"/>
              </w:rPr>
              <w:t> </w:t>
            </w:r>
          </w:p>
        </w:tc>
      </w:tr>
      <w:tr w14:paraId="7C49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1" w:hRule="atLeast"/>
          <w:jc w:val="center"/>
        </w:trPr>
        <w:tc>
          <w:tcPr>
            <w:tcW w:w="2565" w:type="dxa"/>
            <w:noWrap w:val="0"/>
            <w:tcMar>
              <w:top w:w="0" w:type="dxa"/>
              <w:left w:w="108" w:type="dxa"/>
              <w:bottom w:w="0" w:type="dxa"/>
              <w:right w:w="108" w:type="dxa"/>
            </w:tcMar>
            <w:vAlign w:val="center"/>
          </w:tcPr>
          <w:p w14:paraId="2F3B6B5B">
            <w:pPr>
              <w:widowControl/>
              <w:spacing w:line="280" w:lineRule="atLeast"/>
              <w:jc w:val="center"/>
              <w:rPr>
                <w:rFonts w:ascii="仿宋" w:hAnsi="仿宋" w:cs="仿宋"/>
                <w:kern w:val="0"/>
                <w:sz w:val="28"/>
                <w:szCs w:val="28"/>
                <w:lang w:bidi="ar"/>
              </w:rPr>
            </w:pPr>
            <w:r>
              <w:rPr>
                <w:rFonts w:hint="eastAsia" w:ascii="仿宋" w:hAnsi="仿宋" w:cs="仿宋"/>
                <w:kern w:val="0"/>
                <w:sz w:val="28"/>
                <w:szCs w:val="28"/>
                <w:lang w:bidi="ar"/>
              </w:rPr>
              <w:t>性能结构及</w:t>
            </w:r>
          </w:p>
          <w:p w14:paraId="3063255F">
            <w:pPr>
              <w:widowControl/>
              <w:spacing w:line="280" w:lineRule="atLeast"/>
              <w:jc w:val="center"/>
              <w:rPr>
                <w:rFonts w:hint="eastAsia" w:ascii="仿宋" w:hAnsi="仿宋" w:cs="仿宋"/>
                <w:kern w:val="0"/>
                <w:sz w:val="28"/>
                <w:szCs w:val="28"/>
                <w:lang w:bidi="ar"/>
              </w:rPr>
            </w:pPr>
            <w:r>
              <w:rPr>
                <w:rFonts w:hint="eastAsia" w:ascii="仿宋" w:hAnsi="仿宋" w:cs="仿宋"/>
                <w:kern w:val="0"/>
                <w:sz w:val="28"/>
                <w:szCs w:val="28"/>
                <w:lang w:bidi="ar"/>
              </w:rPr>
              <w:t>组成</w:t>
            </w:r>
          </w:p>
        </w:tc>
        <w:tc>
          <w:tcPr>
            <w:tcW w:w="6900" w:type="dxa"/>
            <w:gridSpan w:val="3"/>
            <w:noWrap w:val="0"/>
            <w:tcMar>
              <w:top w:w="0" w:type="dxa"/>
              <w:left w:w="108" w:type="dxa"/>
              <w:bottom w:w="0" w:type="dxa"/>
              <w:right w:w="108" w:type="dxa"/>
            </w:tcMar>
            <w:vAlign w:val="center"/>
          </w:tcPr>
          <w:p w14:paraId="12F9B0DD">
            <w:pPr>
              <w:widowControl/>
              <w:spacing w:line="520" w:lineRule="atLeast"/>
              <w:rPr>
                <w:rFonts w:hint="eastAsia"/>
              </w:rPr>
            </w:pPr>
          </w:p>
        </w:tc>
      </w:tr>
      <w:tr w14:paraId="2E7B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93" w:hRule="atLeast"/>
          <w:jc w:val="center"/>
        </w:trPr>
        <w:tc>
          <w:tcPr>
            <w:tcW w:w="2565" w:type="dxa"/>
            <w:noWrap w:val="0"/>
            <w:tcMar>
              <w:top w:w="0" w:type="dxa"/>
              <w:left w:w="108" w:type="dxa"/>
              <w:bottom w:w="0" w:type="dxa"/>
              <w:right w:w="108" w:type="dxa"/>
            </w:tcMar>
            <w:vAlign w:val="center"/>
          </w:tcPr>
          <w:p w14:paraId="45F1EE57">
            <w:pPr>
              <w:widowControl/>
              <w:spacing w:line="520" w:lineRule="atLeast"/>
              <w:jc w:val="center"/>
              <w:rPr>
                <w:rFonts w:hint="eastAsia" w:ascii="仿宋" w:hAnsi="仿宋" w:cs="仿宋"/>
                <w:kern w:val="0"/>
                <w:sz w:val="28"/>
                <w:szCs w:val="28"/>
                <w:lang w:bidi="ar"/>
              </w:rPr>
            </w:pPr>
            <w:r>
              <w:rPr>
                <w:rFonts w:hint="eastAsia" w:ascii="仿宋" w:hAnsi="仿宋" w:cs="仿宋"/>
                <w:kern w:val="0"/>
                <w:sz w:val="28"/>
                <w:szCs w:val="28"/>
                <w:lang w:bidi="ar"/>
              </w:rPr>
              <w:t>预期用途</w:t>
            </w:r>
          </w:p>
        </w:tc>
        <w:tc>
          <w:tcPr>
            <w:tcW w:w="6900" w:type="dxa"/>
            <w:gridSpan w:val="3"/>
            <w:noWrap w:val="0"/>
            <w:tcMar>
              <w:top w:w="0" w:type="dxa"/>
              <w:left w:w="108" w:type="dxa"/>
              <w:bottom w:w="0" w:type="dxa"/>
              <w:right w:w="108" w:type="dxa"/>
            </w:tcMar>
            <w:vAlign w:val="center"/>
          </w:tcPr>
          <w:p w14:paraId="4C418448">
            <w:pPr>
              <w:widowControl/>
              <w:spacing w:line="520" w:lineRule="atLeast"/>
              <w:rPr>
                <w:rFonts w:hint="eastAsia"/>
              </w:rPr>
            </w:pPr>
          </w:p>
        </w:tc>
      </w:tr>
      <w:tr w14:paraId="6663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19" w:hRule="atLeast"/>
          <w:jc w:val="center"/>
        </w:trPr>
        <w:tc>
          <w:tcPr>
            <w:tcW w:w="2565" w:type="dxa"/>
            <w:noWrap w:val="0"/>
            <w:tcMar>
              <w:top w:w="0" w:type="dxa"/>
              <w:left w:w="108" w:type="dxa"/>
              <w:bottom w:w="0" w:type="dxa"/>
              <w:right w:w="108" w:type="dxa"/>
            </w:tcMar>
            <w:vAlign w:val="center"/>
          </w:tcPr>
          <w:p w14:paraId="235BC522">
            <w:pPr>
              <w:widowControl/>
              <w:spacing w:line="520" w:lineRule="atLeast"/>
              <w:jc w:val="center"/>
            </w:pPr>
            <w:r>
              <w:rPr>
                <w:rFonts w:hint="eastAsia" w:ascii="仿宋" w:hAnsi="仿宋" w:cs="仿宋"/>
                <w:kern w:val="0"/>
                <w:sz w:val="28"/>
                <w:szCs w:val="28"/>
                <w:lang w:bidi="ar"/>
              </w:rPr>
              <w:t>优先注册理由</w:t>
            </w:r>
          </w:p>
        </w:tc>
        <w:tc>
          <w:tcPr>
            <w:tcW w:w="6900" w:type="dxa"/>
            <w:gridSpan w:val="3"/>
            <w:noWrap w:val="0"/>
            <w:tcMar>
              <w:top w:w="0" w:type="dxa"/>
              <w:left w:w="108" w:type="dxa"/>
              <w:bottom w:w="0" w:type="dxa"/>
              <w:right w:w="108" w:type="dxa"/>
            </w:tcMar>
            <w:vAlign w:val="center"/>
          </w:tcPr>
          <w:p w14:paraId="40A2CAC8">
            <w:pPr>
              <w:widowControl/>
              <w:spacing w:line="520" w:lineRule="atLeast"/>
              <w:rPr>
                <w:rFonts w:hint="eastAsia"/>
              </w:rPr>
            </w:pPr>
          </w:p>
          <w:p w14:paraId="00CA72F0">
            <w:pPr>
              <w:widowControl/>
              <w:spacing w:line="520" w:lineRule="atLeast"/>
              <w:rPr>
                <w:rFonts w:ascii="仿宋" w:hAnsi="仿宋" w:cs="仿宋"/>
                <w:kern w:val="0"/>
                <w:sz w:val="28"/>
                <w:szCs w:val="28"/>
                <w:lang w:bidi="ar"/>
              </w:rPr>
            </w:pPr>
            <w:r>
              <w:rPr>
                <w:rFonts w:hint="eastAsia" w:ascii="仿宋" w:hAnsi="仿宋" w:cs="仿宋"/>
                <w:kern w:val="0"/>
                <w:sz w:val="28"/>
                <w:szCs w:val="28"/>
                <w:lang w:bidi="ar"/>
              </w:rPr>
              <w:t>注：简述优先注册理由，明确产品适用于《江苏省第二类医疗器械优先注册程序》第四条中规定的何种情形。</w:t>
            </w:r>
          </w:p>
        </w:tc>
      </w:tr>
      <w:tr w14:paraId="1BE0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47" w:hRule="atLeast"/>
          <w:jc w:val="center"/>
        </w:trPr>
        <w:tc>
          <w:tcPr>
            <w:tcW w:w="2565" w:type="dxa"/>
            <w:noWrap w:val="0"/>
            <w:tcMar>
              <w:top w:w="0" w:type="dxa"/>
              <w:left w:w="108" w:type="dxa"/>
              <w:bottom w:w="0" w:type="dxa"/>
              <w:right w:w="108" w:type="dxa"/>
            </w:tcMar>
            <w:vAlign w:val="center"/>
          </w:tcPr>
          <w:p w14:paraId="1F9D678D">
            <w:pPr>
              <w:widowControl/>
              <w:spacing w:line="520" w:lineRule="atLeast"/>
              <w:jc w:val="center"/>
              <w:rPr>
                <w:rFonts w:hint="eastAsia" w:ascii="仿宋" w:hAnsi="仿宋" w:cs="仿宋"/>
                <w:kern w:val="0"/>
                <w:sz w:val="28"/>
                <w:szCs w:val="28"/>
                <w:lang w:bidi="ar"/>
              </w:rPr>
            </w:pPr>
            <w:r>
              <w:rPr>
                <w:rFonts w:hint="eastAsia" w:ascii="仿宋" w:hAnsi="仿宋" w:cs="仿宋"/>
                <w:kern w:val="0"/>
                <w:sz w:val="28"/>
                <w:szCs w:val="28"/>
                <w:lang w:bidi="ar"/>
              </w:rPr>
              <w:t>真实性保证声明</w:t>
            </w:r>
          </w:p>
        </w:tc>
        <w:tc>
          <w:tcPr>
            <w:tcW w:w="6900" w:type="dxa"/>
            <w:gridSpan w:val="3"/>
            <w:noWrap w:val="0"/>
            <w:tcMar>
              <w:top w:w="0" w:type="dxa"/>
              <w:left w:w="108" w:type="dxa"/>
              <w:bottom w:w="0" w:type="dxa"/>
              <w:right w:w="108" w:type="dxa"/>
            </w:tcMar>
            <w:vAlign w:val="center"/>
          </w:tcPr>
          <w:p w14:paraId="0F9A62F2">
            <w:pPr>
              <w:widowControl/>
              <w:spacing w:line="520" w:lineRule="atLeast"/>
            </w:pPr>
            <w:r>
              <w:rPr>
                <w:rFonts w:hint="eastAsia" w:ascii="仿宋" w:hAnsi="仿宋" w:cs="仿宋"/>
                <w:kern w:val="0"/>
                <w:sz w:val="28"/>
                <w:szCs w:val="28"/>
                <w:lang w:bidi="ar"/>
              </w:rPr>
              <w:t>本人保证声明所提交的资料真实有效。如有虚假，愿意承担相应的法律责任。</w:t>
            </w:r>
          </w:p>
        </w:tc>
      </w:tr>
      <w:tr w14:paraId="197B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47" w:hRule="atLeast"/>
          <w:jc w:val="center"/>
        </w:trPr>
        <w:tc>
          <w:tcPr>
            <w:tcW w:w="2565" w:type="dxa"/>
            <w:noWrap w:val="0"/>
            <w:tcMar>
              <w:top w:w="0" w:type="dxa"/>
              <w:left w:w="108" w:type="dxa"/>
              <w:bottom w:w="0" w:type="dxa"/>
              <w:right w:w="108" w:type="dxa"/>
            </w:tcMar>
            <w:vAlign w:val="center"/>
          </w:tcPr>
          <w:p w14:paraId="596D7B78">
            <w:pPr>
              <w:widowControl/>
              <w:spacing w:line="520" w:lineRule="atLeast"/>
              <w:jc w:val="center"/>
            </w:pPr>
            <w:r>
              <w:rPr>
                <w:rFonts w:hint="eastAsia" w:ascii="仿宋" w:hAnsi="仿宋" w:cs="仿宋"/>
                <w:kern w:val="0"/>
                <w:sz w:val="28"/>
                <w:szCs w:val="28"/>
                <w:lang w:bidi="ar"/>
              </w:rPr>
              <w:t>备注</w:t>
            </w:r>
          </w:p>
        </w:tc>
        <w:tc>
          <w:tcPr>
            <w:tcW w:w="6900" w:type="dxa"/>
            <w:gridSpan w:val="3"/>
            <w:noWrap w:val="0"/>
            <w:tcMar>
              <w:top w:w="0" w:type="dxa"/>
              <w:left w:w="108" w:type="dxa"/>
              <w:bottom w:w="0" w:type="dxa"/>
              <w:right w:w="108" w:type="dxa"/>
            </w:tcMar>
            <w:vAlign w:val="top"/>
          </w:tcPr>
          <w:p w14:paraId="472821A8">
            <w:pPr>
              <w:widowControl/>
              <w:spacing w:line="520" w:lineRule="atLeast"/>
            </w:pPr>
          </w:p>
        </w:tc>
      </w:tr>
      <w:tr w14:paraId="0BE1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94" w:hRule="atLeast"/>
          <w:jc w:val="center"/>
        </w:trPr>
        <w:tc>
          <w:tcPr>
            <w:tcW w:w="2565" w:type="dxa"/>
            <w:noWrap w:val="0"/>
            <w:tcMar>
              <w:top w:w="0" w:type="dxa"/>
              <w:left w:w="108" w:type="dxa"/>
              <w:bottom w:w="0" w:type="dxa"/>
              <w:right w:w="108" w:type="dxa"/>
            </w:tcMar>
            <w:vAlign w:val="center"/>
          </w:tcPr>
          <w:p w14:paraId="0A2A21C2">
            <w:pPr>
              <w:widowControl/>
              <w:spacing w:line="520" w:lineRule="atLeast"/>
              <w:jc w:val="center"/>
            </w:pPr>
            <w:r>
              <w:rPr>
                <w:rFonts w:hint="eastAsia" w:ascii="仿宋" w:hAnsi="仿宋" w:cs="仿宋"/>
                <w:kern w:val="0"/>
                <w:sz w:val="28"/>
                <w:szCs w:val="28"/>
                <w:lang w:bidi="ar"/>
              </w:rPr>
              <w:t>申请人签章</w:t>
            </w:r>
          </w:p>
        </w:tc>
        <w:tc>
          <w:tcPr>
            <w:tcW w:w="6900" w:type="dxa"/>
            <w:gridSpan w:val="3"/>
            <w:noWrap w:val="0"/>
            <w:tcMar>
              <w:top w:w="0" w:type="dxa"/>
              <w:left w:w="108" w:type="dxa"/>
              <w:bottom w:w="0" w:type="dxa"/>
              <w:right w:w="108" w:type="dxa"/>
            </w:tcMar>
            <w:vAlign w:val="top"/>
          </w:tcPr>
          <w:p w14:paraId="37F9480C">
            <w:pPr>
              <w:widowControl/>
              <w:spacing w:line="520" w:lineRule="atLeast"/>
              <w:ind w:firstLine="3920"/>
            </w:pPr>
            <w:r>
              <w:rPr>
                <w:kern w:val="0"/>
                <w:sz w:val="28"/>
                <w:szCs w:val="28"/>
                <w:lang w:bidi="ar"/>
              </w:rPr>
              <w:t> </w:t>
            </w:r>
          </w:p>
          <w:p w14:paraId="56190542">
            <w:pPr>
              <w:widowControl/>
              <w:spacing w:line="520" w:lineRule="atLeast"/>
              <w:ind w:firstLine="3920"/>
              <w:rPr>
                <w:rFonts w:hint="eastAsia"/>
              </w:rPr>
            </w:pPr>
            <w:r>
              <w:rPr>
                <w:kern w:val="0"/>
                <w:sz w:val="28"/>
                <w:szCs w:val="28"/>
                <w:lang w:bidi="ar"/>
              </w:rPr>
              <w:t> </w:t>
            </w:r>
            <w:r>
              <w:rPr>
                <w:rFonts w:hint="eastAsia" w:ascii="仿宋" w:hAnsi="仿宋" w:cs="仿宋"/>
                <w:kern w:val="0"/>
                <w:sz w:val="28"/>
                <w:szCs w:val="28"/>
                <w:lang w:bidi="ar"/>
              </w:rPr>
              <w:t>年</w:t>
            </w:r>
            <w:r>
              <w:rPr>
                <w:kern w:val="0"/>
                <w:sz w:val="28"/>
                <w:szCs w:val="28"/>
                <w:lang w:bidi="ar"/>
              </w:rPr>
              <w:t>   </w:t>
            </w:r>
            <w:r>
              <w:rPr>
                <w:rFonts w:hint="eastAsia" w:ascii="仿宋" w:hAnsi="仿宋" w:cs="仿宋"/>
                <w:kern w:val="0"/>
                <w:sz w:val="28"/>
                <w:szCs w:val="28"/>
                <w:lang w:bidi="ar"/>
              </w:rPr>
              <w:t>月</w:t>
            </w:r>
            <w:r>
              <w:rPr>
                <w:kern w:val="0"/>
                <w:sz w:val="28"/>
                <w:szCs w:val="28"/>
                <w:lang w:bidi="ar"/>
              </w:rPr>
              <w:t>   </w:t>
            </w:r>
            <w:r>
              <w:rPr>
                <w:rFonts w:hint="eastAsia" w:ascii="仿宋" w:hAnsi="仿宋" w:cs="仿宋"/>
                <w:kern w:val="0"/>
                <w:sz w:val="28"/>
                <w:szCs w:val="28"/>
                <w:lang w:bidi="ar"/>
              </w:rPr>
              <w:t>日</w:t>
            </w:r>
          </w:p>
        </w:tc>
      </w:tr>
    </w:tbl>
    <w:p w14:paraId="47075310">
      <w:pPr>
        <w:widowControl/>
        <w:spacing w:line="560" w:lineRule="atLeast"/>
        <w:jc w:val="left"/>
        <w:rPr>
          <w:rFonts w:hint="eastAsia" w:ascii="方正仿宋_GBK" w:eastAsia="方正仿宋_GBK" w:cs="黑体"/>
          <w:kern w:val="0"/>
          <w:lang w:bidi="ar"/>
        </w:rPr>
      </w:pPr>
    </w:p>
    <w:p w14:paraId="0EC53C65">
      <w:pPr>
        <w:widowControl/>
        <w:adjustRightInd w:val="0"/>
        <w:snapToGrid w:val="0"/>
        <w:spacing w:line="590" w:lineRule="exact"/>
        <w:jc w:val="left"/>
        <w:rPr>
          <w:rFonts w:hint="eastAsia" w:ascii="方正黑体_GBK" w:eastAsia="方正黑体_GBK" w:cs="方正黑体_GBK"/>
          <w:lang w:bidi="ar-SA"/>
        </w:rPr>
      </w:pPr>
      <w:r>
        <w:rPr>
          <w:rFonts w:hint="eastAsia" w:ascii="方正仿宋_GBK" w:eastAsia="方正仿宋_GBK" w:cs="黑体"/>
          <w:kern w:val="0"/>
          <w:lang w:bidi="ar"/>
        </w:rPr>
        <w:br w:type="page"/>
      </w:r>
      <w:r>
        <w:rPr>
          <w:rFonts w:hint="eastAsia" w:ascii="方正黑体_GBK" w:eastAsia="方正黑体_GBK" w:cs="方正黑体_GBK"/>
          <w:kern w:val="0"/>
          <w:lang w:bidi="ar"/>
        </w:rPr>
        <w:t>附2</w:t>
      </w:r>
    </w:p>
    <w:p w14:paraId="15D4C4B6">
      <w:pPr>
        <w:pStyle w:val="5"/>
        <w:keepNext w:val="0"/>
        <w:keepLines w:val="0"/>
        <w:pageBreakBefore w:val="0"/>
        <w:widowControl/>
        <w:suppressLineNumbers w:val="0"/>
        <w:suppressAutoHyphens w:val="0"/>
        <w:adjustRightInd w:val="0"/>
        <w:snapToGrid w:val="0"/>
        <w:spacing w:before="0" w:beforeAutospacing="0" w:after="0" w:afterAutospacing="0" w:line="590" w:lineRule="exact"/>
        <w:jc w:val="center"/>
        <w:rPr>
          <w:rFonts w:hint="eastAsia" w:ascii="方正小标宋简体" w:eastAsia="方正小标宋简体" w:cs="方正小标宋简体"/>
          <w:spacing w:val="-4"/>
          <w:kern w:val="0"/>
          <w:sz w:val="40"/>
          <w:szCs w:val="44"/>
          <w:lang w:bidi="ar"/>
        </w:rPr>
      </w:pPr>
    </w:p>
    <w:p w14:paraId="47023CBA">
      <w:pPr>
        <w:pStyle w:val="5"/>
        <w:keepNext w:val="0"/>
        <w:keepLines w:val="0"/>
        <w:pageBreakBefore w:val="0"/>
        <w:widowControl/>
        <w:suppressLineNumbers w:val="0"/>
        <w:suppressAutoHyphens w:val="0"/>
        <w:adjustRightInd w:val="0"/>
        <w:snapToGrid w:val="0"/>
        <w:spacing w:before="0" w:beforeAutospacing="0" w:after="0" w:afterAutospacing="0" w:line="590" w:lineRule="exact"/>
        <w:jc w:val="center"/>
        <w:rPr>
          <w:rFonts w:hint="eastAsia" w:ascii="方正小标宋_GBK" w:eastAsia="方正小标宋_GBK" w:cs="方正小标宋_GBK"/>
          <w:spacing w:val="-4"/>
          <w:kern w:val="0"/>
          <w:sz w:val="44"/>
          <w:szCs w:val="44"/>
          <w:lang w:bidi="ar"/>
        </w:rPr>
      </w:pPr>
      <w:r>
        <w:rPr>
          <w:rFonts w:hint="eastAsia" w:ascii="方正小标宋_GBK" w:eastAsia="方正小标宋_GBK" w:cs="方正小标宋_GBK"/>
          <w:spacing w:val="-4"/>
          <w:kern w:val="0"/>
          <w:sz w:val="44"/>
          <w:szCs w:val="44"/>
          <w:lang w:bidi="ar"/>
        </w:rPr>
        <w:t>江苏省第二类医疗器械优先注册</w:t>
      </w:r>
    </w:p>
    <w:p w14:paraId="0A999BC3">
      <w:pPr>
        <w:pStyle w:val="5"/>
        <w:keepNext w:val="0"/>
        <w:keepLines w:val="0"/>
        <w:pageBreakBefore w:val="0"/>
        <w:widowControl/>
        <w:suppressLineNumbers w:val="0"/>
        <w:suppressAutoHyphens w:val="0"/>
        <w:adjustRightInd w:val="0"/>
        <w:snapToGrid w:val="0"/>
        <w:spacing w:before="0" w:beforeAutospacing="0" w:after="0" w:afterAutospacing="0" w:line="590" w:lineRule="exact"/>
        <w:jc w:val="center"/>
        <w:rPr>
          <w:rFonts w:hint="eastAsia" w:ascii="方正小标宋简体" w:eastAsia="方正小标宋简体" w:cs="方正小标宋简体"/>
          <w:spacing w:val="-4"/>
          <w:kern w:val="0"/>
          <w:sz w:val="40"/>
          <w:szCs w:val="44"/>
          <w:lang w:bidi="ar"/>
        </w:rPr>
      </w:pPr>
      <w:r>
        <w:rPr>
          <w:rFonts w:hint="eastAsia" w:ascii="方正小标宋_GBK" w:eastAsia="方正小标宋_GBK" w:cs="方正小标宋_GBK"/>
          <w:spacing w:val="-4"/>
          <w:kern w:val="0"/>
          <w:sz w:val="44"/>
          <w:szCs w:val="44"/>
          <w:lang w:bidi="ar"/>
        </w:rPr>
        <w:t>申报资料编写指南</w:t>
      </w:r>
    </w:p>
    <w:p w14:paraId="2CFCEB9A">
      <w:pPr>
        <w:pStyle w:val="5"/>
        <w:keepNext w:val="0"/>
        <w:keepLines w:val="0"/>
        <w:pageBreakBefore w:val="0"/>
        <w:widowControl/>
        <w:suppressLineNumbers w:val="0"/>
        <w:suppressAutoHyphens w:val="0"/>
        <w:adjustRightInd w:val="0"/>
        <w:snapToGrid w:val="0"/>
        <w:spacing w:before="0" w:beforeAutospacing="0" w:after="0" w:afterAutospacing="0" w:line="590" w:lineRule="exact"/>
        <w:jc w:val="center"/>
        <w:rPr>
          <w:rFonts w:hint="eastAsia" w:ascii="方正小标宋简体" w:eastAsia="方正小标宋简体" w:cs="方正小标宋简体"/>
          <w:spacing w:val="-4"/>
          <w:kern w:val="0"/>
          <w:sz w:val="40"/>
          <w:szCs w:val="44"/>
          <w:lang w:bidi="ar"/>
        </w:rPr>
      </w:pPr>
    </w:p>
    <w:p w14:paraId="4C2A3345">
      <w:pPr>
        <w:spacing w:line="600" w:lineRule="exact"/>
        <w:ind w:firstLine="640" w:firstLineChars="200"/>
        <w:rPr>
          <w:rFonts w:hint="eastAsia" w:ascii="黑体" w:eastAsia="黑体"/>
        </w:rPr>
      </w:pPr>
      <w:r>
        <w:rPr>
          <w:rFonts w:hint="eastAsia" w:ascii="黑体" w:eastAsia="黑体"/>
        </w:rPr>
        <w:t>一、内容要求</w:t>
      </w:r>
    </w:p>
    <w:p w14:paraId="69055D68">
      <w:pPr>
        <w:widowControl/>
        <w:spacing w:line="620" w:lineRule="exact"/>
        <w:ind w:firstLine="640" w:firstLineChars="200"/>
        <w:rPr>
          <w:rFonts w:hint="eastAsia" w:ascii="方正楷体_GBK" w:eastAsia="方正楷体_GBK"/>
          <w:kern w:val="0"/>
          <w:lang w:bidi="ar"/>
        </w:rPr>
      </w:pPr>
      <w:r>
        <w:rPr>
          <w:rFonts w:hint="eastAsia" w:ascii="方正楷体_GBK" w:eastAsia="方正楷体_GBK"/>
          <w:kern w:val="0"/>
          <w:lang w:bidi="ar"/>
        </w:rPr>
        <w:t>（一）符合《江苏省第二类医疗器械优先注册程序》（以下简称程序）第四条第（一）项情形的，应当提交以下材料：</w:t>
      </w:r>
    </w:p>
    <w:p w14:paraId="1A22E15B">
      <w:pPr>
        <w:spacing w:line="600" w:lineRule="exact"/>
        <w:ind w:firstLine="640" w:firstLineChars="200"/>
        <w:rPr>
          <w:rFonts w:eastAsia="仿宋_GB2312"/>
        </w:rPr>
      </w:pPr>
      <w:r>
        <w:rPr>
          <w:rFonts w:eastAsia="仿宋_GB2312"/>
        </w:rPr>
        <w:t>1.</w:t>
      </w:r>
      <w:r>
        <w:rPr>
          <w:rFonts w:eastAsia="仿宋_GB2312"/>
          <w:kern w:val="0"/>
        </w:rPr>
        <w:t>诊断或者治疗罕见病，且具有明显临床优势</w:t>
      </w:r>
    </w:p>
    <w:p w14:paraId="0D85BF11">
      <w:pPr>
        <w:spacing w:line="600" w:lineRule="exact"/>
        <w:ind w:firstLine="640" w:firstLineChars="200"/>
        <w:rPr>
          <w:rFonts w:eastAsia="仿宋_GB2312"/>
        </w:rPr>
      </w:pPr>
      <w:r>
        <w:rPr>
          <w:rFonts w:eastAsia="仿宋_GB2312"/>
        </w:rPr>
        <w:t>（1）该产品适应</w:t>
      </w:r>
      <w:r>
        <w:rPr>
          <w:rFonts w:hint="eastAsia" w:eastAsia="仿宋_GB2312"/>
        </w:rPr>
        <w:t>症</w:t>
      </w:r>
      <w:r>
        <w:rPr>
          <w:rFonts w:eastAsia="仿宋_GB2312"/>
        </w:rPr>
        <w:t>的发病率数据及相关支持性资料；</w:t>
      </w:r>
    </w:p>
    <w:p w14:paraId="6BA9ECCE">
      <w:pPr>
        <w:spacing w:line="600" w:lineRule="exact"/>
        <w:ind w:firstLine="640" w:firstLineChars="200"/>
        <w:rPr>
          <w:rFonts w:eastAsia="仿宋_GB2312"/>
        </w:rPr>
      </w:pPr>
      <w:r>
        <w:rPr>
          <w:rFonts w:eastAsia="仿宋_GB2312"/>
        </w:rPr>
        <w:t>（2）证明该适应</w:t>
      </w:r>
      <w:r>
        <w:rPr>
          <w:rFonts w:hint="eastAsia" w:eastAsia="仿宋_GB2312"/>
        </w:rPr>
        <w:t>症</w:t>
      </w:r>
      <w:r>
        <w:rPr>
          <w:rFonts w:eastAsia="仿宋_GB2312"/>
        </w:rPr>
        <w:t>属于罕见病的支持性资料；</w:t>
      </w:r>
    </w:p>
    <w:p w14:paraId="00E54392">
      <w:pPr>
        <w:spacing w:line="600" w:lineRule="exact"/>
        <w:ind w:firstLine="640" w:firstLineChars="200"/>
        <w:rPr>
          <w:rFonts w:eastAsia="仿宋_GB2312"/>
        </w:rPr>
      </w:pPr>
      <w:r>
        <w:rPr>
          <w:rFonts w:eastAsia="仿宋_GB2312"/>
        </w:rPr>
        <w:t>（3）该适应</w:t>
      </w:r>
      <w:r>
        <w:rPr>
          <w:rFonts w:hint="eastAsia" w:eastAsia="仿宋_GB2312"/>
        </w:rPr>
        <w:t>症</w:t>
      </w:r>
      <w:r>
        <w:rPr>
          <w:rFonts w:eastAsia="仿宋_GB2312"/>
        </w:rPr>
        <w:t>的临床治疗现状综述；</w:t>
      </w:r>
    </w:p>
    <w:p w14:paraId="08BC04D8">
      <w:pPr>
        <w:spacing w:line="600" w:lineRule="exact"/>
        <w:ind w:firstLine="640" w:firstLineChars="200"/>
        <w:rPr>
          <w:rFonts w:eastAsia="仿宋_GB2312"/>
        </w:rPr>
      </w:pPr>
      <w:r>
        <w:rPr>
          <w:rFonts w:eastAsia="仿宋_GB2312"/>
        </w:rPr>
        <w:t>（4）该产品较现有产品或治疗手段具有明显临床优势说明及相关支持性资料。</w:t>
      </w:r>
    </w:p>
    <w:p w14:paraId="0AEBA7E9">
      <w:pPr>
        <w:spacing w:line="600" w:lineRule="exact"/>
        <w:ind w:firstLine="640" w:firstLineChars="200"/>
        <w:rPr>
          <w:rFonts w:eastAsia="仿宋_GB2312"/>
        </w:rPr>
      </w:pPr>
      <w:r>
        <w:rPr>
          <w:rFonts w:eastAsia="仿宋_GB2312"/>
        </w:rPr>
        <w:t>2.诊断或者治疗恶性肿瘤，且具有明显临床优势</w:t>
      </w:r>
    </w:p>
    <w:p w14:paraId="6E0E592F">
      <w:pPr>
        <w:spacing w:line="600" w:lineRule="exact"/>
        <w:ind w:firstLine="640" w:firstLineChars="200"/>
        <w:rPr>
          <w:rFonts w:eastAsia="仿宋_GB2312"/>
        </w:rPr>
      </w:pPr>
      <w:r>
        <w:rPr>
          <w:rFonts w:eastAsia="仿宋_GB2312"/>
        </w:rPr>
        <w:t>（1）该产品适应</w:t>
      </w:r>
      <w:r>
        <w:rPr>
          <w:rFonts w:hint="eastAsia" w:eastAsia="仿宋_GB2312"/>
        </w:rPr>
        <w:t>症</w:t>
      </w:r>
      <w:r>
        <w:rPr>
          <w:rFonts w:eastAsia="仿宋_GB2312"/>
        </w:rPr>
        <w:t>属于恶性肿瘤的支持性资料；</w:t>
      </w:r>
    </w:p>
    <w:p w14:paraId="0511429B">
      <w:pPr>
        <w:spacing w:line="600" w:lineRule="exact"/>
        <w:ind w:firstLine="640" w:firstLineChars="200"/>
        <w:rPr>
          <w:rFonts w:eastAsia="仿宋_GB2312"/>
        </w:rPr>
      </w:pPr>
      <w:r>
        <w:rPr>
          <w:rFonts w:eastAsia="仿宋_GB2312"/>
        </w:rPr>
        <w:t>（2）该适应</w:t>
      </w:r>
      <w:r>
        <w:rPr>
          <w:rFonts w:hint="eastAsia" w:eastAsia="仿宋_GB2312"/>
        </w:rPr>
        <w:t>症</w:t>
      </w:r>
      <w:r>
        <w:rPr>
          <w:rFonts w:eastAsia="仿宋_GB2312"/>
        </w:rPr>
        <w:t>的临床治疗现状综述；</w:t>
      </w:r>
    </w:p>
    <w:p w14:paraId="5E3E48C3">
      <w:pPr>
        <w:spacing w:line="600" w:lineRule="exact"/>
        <w:ind w:firstLine="640" w:firstLineChars="200"/>
        <w:rPr>
          <w:rFonts w:eastAsia="仿宋_GB2312"/>
        </w:rPr>
      </w:pPr>
      <w:r>
        <w:rPr>
          <w:rFonts w:eastAsia="仿宋_GB2312"/>
        </w:rPr>
        <w:t>（3）该产品较现有产品或治疗手段具有明显临床优势说明及相关支持性资料。</w:t>
      </w:r>
    </w:p>
    <w:p w14:paraId="02C655D9">
      <w:pPr>
        <w:spacing w:line="600" w:lineRule="exact"/>
        <w:ind w:firstLine="640" w:firstLineChars="200"/>
        <w:rPr>
          <w:rFonts w:eastAsia="仿宋_GB2312"/>
          <w:kern w:val="0"/>
        </w:rPr>
      </w:pPr>
      <w:r>
        <w:rPr>
          <w:rFonts w:eastAsia="仿宋_GB2312"/>
        </w:rPr>
        <w:t>3.诊断或者治疗老年人特</w:t>
      </w:r>
      <w:r>
        <w:rPr>
          <w:rFonts w:eastAsia="仿宋_GB2312"/>
          <w:kern w:val="0"/>
        </w:rPr>
        <w:t>有和多发疾病，且目前尚无有效诊断或者治疗手段</w:t>
      </w:r>
    </w:p>
    <w:p w14:paraId="55482ACE">
      <w:pPr>
        <w:spacing w:line="600" w:lineRule="exact"/>
        <w:ind w:firstLine="640" w:firstLineChars="200"/>
        <w:rPr>
          <w:rFonts w:eastAsia="仿宋_GB2312"/>
        </w:rPr>
      </w:pPr>
      <w:r>
        <w:rPr>
          <w:rFonts w:eastAsia="仿宋_GB2312"/>
        </w:rPr>
        <w:t>（1）该产品适应</w:t>
      </w:r>
      <w:r>
        <w:rPr>
          <w:rFonts w:hint="eastAsia" w:eastAsia="仿宋_GB2312"/>
        </w:rPr>
        <w:t>症</w:t>
      </w:r>
      <w:r>
        <w:rPr>
          <w:rFonts w:eastAsia="仿宋_GB2312"/>
        </w:rPr>
        <w:t>属于老年人特</w:t>
      </w:r>
      <w:r>
        <w:rPr>
          <w:rFonts w:eastAsia="仿宋_GB2312"/>
          <w:kern w:val="0"/>
        </w:rPr>
        <w:t>有和多发疾病的支持性资料</w:t>
      </w:r>
      <w:r>
        <w:rPr>
          <w:rFonts w:eastAsia="仿宋_GB2312"/>
        </w:rPr>
        <w:t>；</w:t>
      </w:r>
    </w:p>
    <w:p w14:paraId="1E9E6C2E">
      <w:pPr>
        <w:spacing w:line="600" w:lineRule="exact"/>
        <w:ind w:firstLine="640" w:firstLineChars="200"/>
        <w:rPr>
          <w:rFonts w:eastAsia="仿宋_GB2312"/>
        </w:rPr>
      </w:pPr>
      <w:r>
        <w:rPr>
          <w:rFonts w:eastAsia="仿宋_GB2312"/>
        </w:rPr>
        <w:t>（2）该适应</w:t>
      </w:r>
      <w:r>
        <w:rPr>
          <w:rFonts w:hint="eastAsia" w:eastAsia="仿宋_GB2312"/>
        </w:rPr>
        <w:t>症</w:t>
      </w:r>
      <w:r>
        <w:rPr>
          <w:rFonts w:eastAsia="仿宋_GB2312"/>
        </w:rPr>
        <w:t>的临床治疗现状综述；</w:t>
      </w:r>
    </w:p>
    <w:p w14:paraId="689F855B">
      <w:pPr>
        <w:spacing w:line="600" w:lineRule="exact"/>
        <w:ind w:firstLine="640" w:firstLineChars="200"/>
        <w:rPr>
          <w:rFonts w:eastAsia="仿宋_GB2312"/>
        </w:rPr>
      </w:pPr>
      <w:r>
        <w:rPr>
          <w:rFonts w:eastAsia="仿宋_GB2312"/>
        </w:rPr>
        <w:t>（3）目前尚无有效诊断或治疗手段的说明及相关支持性资料。</w:t>
      </w:r>
    </w:p>
    <w:p w14:paraId="18847CB8">
      <w:pPr>
        <w:tabs>
          <w:tab w:val="left" w:pos="709"/>
        </w:tabs>
        <w:spacing w:line="600" w:lineRule="exact"/>
        <w:ind w:firstLine="640" w:firstLineChars="200"/>
        <w:rPr>
          <w:rFonts w:eastAsia="仿宋_GB2312"/>
          <w:kern w:val="0"/>
        </w:rPr>
      </w:pPr>
      <w:r>
        <w:rPr>
          <w:rFonts w:eastAsia="仿宋_GB2312"/>
          <w:kern w:val="0"/>
        </w:rPr>
        <w:t>4.专用于儿童，且具有明显临床优势</w:t>
      </w:r>
    </w:p>
    <w:p w14:paraId="7A0CF7F4">
      <w:pPr>
        <w:spacing w:line="600" w:lineRule="exact"/>
        <w:ind w:firstLine="640" w:firstLineChars="200"/>
        <w:rPr>
          <w:rFonts w:eastAsia="仿宋_GB2312"/>
        </w:rPr>
      </w:pPr>
      <w:r>
        <w:rPr>
          <w:rFonts w:eastAsia="仿宋_GB2312"/>
        </w:rPr>
        <w:t>（1）该产品适</w:t>
      </w:r>
      <w:r>
        <w:rPr>
          <w:rFonts w:hint="eastAsia" w:eastAsia="仿宋_GB2312"/>
        </w:rPr>
        <w:t>应症</w:t>
      </w:r>
      <w:r>
        <w:rPr>
          <w:rFonts w:eastAsia="仿宋_GB2312"/>
        </w:rPr>
        <w:t>属于</w:t>
      </w:r>
      <w:r>
        <w:rPr>
          <w:rFonts w:eastAsia="仿宋_GB2312"/>
          <w:kern w:val="0"/>
        </w:rPr>
        <w:t>儿童疾病的支持性资料</w:t>
      </w:r>
      <w:r>
        <w:rPr>
          <w:rFonts w:eastAsia="仿宋_GB2312"/>
        </w:rPr>
        <w:t>；</w:t>
      </w:r>
    </w:p>
    <w:p w14:paraId="2913F03C">
      <w:pPr>
        <w:spacing w:line="600" w:lineRule="exact"/>
        <w:ind w:firstLine="640" w:firstLineChars="200"/>
        <w:rPr>
          <w:rFonts w:eastAsia="仿宋_GB2312"/>
        </w:rPr>
      </w:pPr>
      <w:r>
        <w:rPr>
          <w:rFonts w:eastAsia="仿宋_GB2312"/>
        </w:rPr>
        <w:t>（2）该适应</w:t>
      </w:r>
      <w:r>
        <w:rPr>
          <w:rFonts w:hint="eastAsia" w:eastAsia="仿宋_GB2312"/>
        </w:rPr>
        <w:t>症</w:t>
      </w:r>
      <w:r>
        <w:rPr>
          <w:rFonts w:eastAsia="仿宋_GB2312"/>
        </w:rPr>
        <w:t>的临床治疗现状综述；</w:t>
      </w:r>
    </w:p>
    <w:p w14:paraId="5BF4F7F0">
      <w:pPr>
        <w:spacing w:line="600" w:lineRule="exact"/>
        <w:ind w:firstLine="640" w:firstLineChars="200"/>
        <w:rPr>
          <w:rFonts w:eastAsia="仿宋_GB2312"/>
        </w:rPr>
      </w:pPr>
      <w:r>
        <w:rPr>
          <w:rFonts w:eastAsia="仿宋_GB2312"/>
        </w:rPr>
        <w:t>（3）证明该产品专用于诊断或治疗儿童疾病，较现有产品或治疗手段具有明显临床优势说明及相关支持性资料。</w:t>
      </w:r>
    </w:p>
    <w:p w14:paraId="74ABBB04">
      <w:pPr>
        <w:spacing w:line="600" w:lineRule="exact"/>
        <w:ind w:firstLine="640" w:firstLineChars="200"/>
        <w:rPr>
          <w:rFonts w:eastAsia="仿宋_GB2312"/>
          <w:kern w:val="0"/>
        </w:rPr>
      </w:pPr>
      <w:r>
        <w:rPr>
          <w:rFonts w:eastAsia="仿宋_GB2312"/>
          <w:kern w:val="0"/>
        </w:rPr>
        <w:t>5.</w:t>
      </w:r>
      <w:r>
        <w:rPr>
          <w:rFonts w:hint="eastAsia" w:ascii="方正仿宋_GBK" w:eastAsia="方正仿宋_GBK"/>
        </w:rPr>
        <w:t>临床急需，且在我国尚无同品种产品获准注册的医疗器械</w:t>
      </w:r>
    </w:p>
    <w:p w14:paraId="7F142588">
      <w:pPr>
        <w:widowControl/>
        <w:spacing w:line="600" w:lineRule="exact"/>
        <w:ind w:firstLine="640" w:firstLineChars="200"/>
        <w:rPr>
          <w:rFonts w:hint="eastAsia" w:ascii="方正仿宋_GBK" w:eastAsia="方正仿宋_GBK"/>
          <w:kern w:val="0"/>
          <w:lang w:bidi="ar"/>
        </w:rPr>
      </w:pPr>
      <w:r>
        <w:rPr>
          <w:rFonts w:hint="eastAsia" w:eastAsia="仿宋_GB2312"/>
        </w:rPr>
        <w:t>（1）</w:t>
      </w:r>
      <w:r>
        <w:rPr>
          <w:rFonts w:hint="eastAsia" w:ascii="方正仿宋_GBK" w:eastAsia="方正仿宋_GBK"/>
          <w:kern w:val="0"/>
          <w:lang w:bidi="ar"/>
        </w:rPr>
        <w:t>该医疗器械申请的适应症的临床治疗现状综述，说明临床急需的理由，至少包括产品的临床使用情况及当前的临床应用背景，产品所具有的临床使用价值及相关支持性资料；</w:t>
      </w:r>
    </w:p>
    <w:p w14:paraId="5C61B4F9">
      <w:pPr>
        <w:widowControl/>
        <w:spacing w:line="600" w:lineRule="exact"/>
        <w:ind w:firstLine="640" w:firstLineChars="200"/>
        <w:rPr>
          <w:rFonts w:hint="eastAsia" w:ascii="方正仿宋_GBK" w:eastAsia="方正仿宋_GBK"/>
          <w:kern w:val="0"/>
          <w:lang w:bidi="ar"/>
        </w:rPr>
      </w:pPr>
      <w:r>
        <w:rPr>
          <w:rFonts w:hint="eastAsia" w:eastAsia="仿宋_GB2312"/>
        </w:rPr>
        <w:t>（2）</w:t>
      </w:r>
      <w:r>
        <w:rPr>
          <w:rFonts w:hint="eastAsia" w:ascii="方正仿宋_GBK" w:eastAsia="方正仿宋_GBK"/>
          <w:kern w:val="0"/>
          <w:lang w:bidi="ar"/>
        </w:rPr>
        <w:t>提供检索情况等说明，证明目前国内无相关同品种产品获准注册，且目前尚无同等替代诊断或者治疗方法；</w:t>
      </w:r>
    </w:p>
    <w:p w14:paraId="00F4F0DD">
      <w:pPr>
        <w:widowControl/>
        <w:spacing w:line="600" w:lineRule="exact"/>
        <w:ind w:firstLine="640" w:firstLineChars="200"/>
        <w:rPr>
          <w:rFonts w:hint="eastAsia" w:ascii="方正仿宋_GBK" w:eastAsia="方正仿宋_GBK"/>
          <w:kern w:val="0"/>
          <w:lang w:bidi="ar"/>
        </w:rPr>
      </w:pPr>
      <w:r>
        <w:rPr>
          <w:rFonts w:hint="eastAsia" w:eastAsia="仿宋_GB2312"/>
        </w:rPr>
        <w:t>（3）</w:t>
      </w:r>
      <w:r>
        <w:rPr>
          <w:rFonts w:hint="eastAsia" w:ascii="方正仿宋_GBK" w:eastAsia="方正仿宋_GBK"/>
          <w:kern w:val="0"/>
          <w:lang w:bidi="ar"/>
        </w:rPr>
        <w:t>该产品和同类产品在境外批准和临床使用情况。</w:t>
      </w:r>
    </w:p>
    <w:p w14:paraId="6E73798C">
      <w:pPr>
        <w:widowControl/>
        <w:spacing w:line="600" w:lineRule="exact"/>
        <w:ind w:firstLine="640" w:firstLineChars="200"/>
        <w:rPr>
          <w:rFonts w:hint="eastAsia" w:ascii="方正楷体_GBK" w:eastAsia="方正楷体_GBK"/>
          <w:kern w:val="0"/>
          <w:lang w:bidi="ar"/>
        </w:rPr>
      </w:pPr>
      <w:r>
        <w:rPr>
          <w:rFonts w:hint="eastAsia" w:ascii="方正楷体_GBK" w:eastAsia="方正楷体_GBK"/>
          <w:kern w:val="0"/>
          <w:lang w:bidi="ar"/>
        </w:rPr>
        <w:t>（二）符合程序第四条第（二）项情形的，应当提交以下材料：</w:t>
      </w:r>
    </w:p>
    <w:p w14:paraId="0C6F7972">
      <w:pPr>
        <w:widowControl/>
        <w:spacing w:line="600" w:lineRule="exact"/>
        <w:ind w:firstLine="640" w:firstLineChars="200"/>
        <w:rPr>
          <w:rFonts w:hint="eastAsia" w:ascii="方正仿宋_GBK" w:eastAsia="方正仿宋_GBK"/>
          <w:kern w:val="0"/>
          <w:lang w:bidi="ar"/>
        </w:rPr>
      </w:pPr>
      <w:r>
        <w:rPr>
          <w:rFonts w:hint="eastAsia" w:eastAsia="仿宋_GB2312"/>
          <w:kern w:val="0"/>
        </w:rPr>
        <w:t>1.当</w:t>
      </w:r>
      <w:r>
        <w:rPr>
          <w:rFonts w:hint="eastAsia" w:ascii="方正仿宋_GBK" w:eastAsia="方正仿宋_GBK"/>
          <w:kern w:val="0"/>
          <w:lang w:bidi="ar"/>
        </w:rPr>
        <w:t>前公共卫生事件起因、目前进展，以及该类产品市场需求情况；</w:t>
      </w:r>
    </w:p>
    <w:p w14:paraId="2632F050">
      <w:pPr>
        <w:widowControl/>
        <w:spacing w:line="600" w:lineRule="exact"/>
        <w:ind w:firstLine="640" w:firstLineChars="200"/>
        <w:rPr>
          <w:rFonts w:hint="eastAsia" w:ascii="方正仿宋_GBK" w:eastAsia="方正仿宋_GBK"/>
          <w:kern w:val="0"/>
          <w:lang w:bidi="ar"/>
        </w:rPr>
      </w:pPr>
      <w:r>
        <w:rPr>
          <w:rFonts w:hint="eastAsia" w:eastAsia="仿宋_GB2312"/>
          <w:kern w:val="0"/>
        </w:rPr>
        <w:t>2.</w:t>
      </w:r>
      <w:r>
        <w:rPr>
          <w:rFonts w:hint="eastAsia" w:ascii="方正仿宋_GBK" w:eastAsia="方正仿宋_GBK"/>
          <w:kern w:val="0"/>
          <w:lang w:bidi="ar"/>
        </w:rPr>
        <w:t>本产品综述资料、研发情况、生产能力及该类产品供应不能满足当前应急处置需要的支持性资料；</w:t>
      </w:r>
    </w:p>
    <w:p w14:paraId="25841412">
      <w:pPr>
        <w:widowControl/>
        <w:spacing w:line="600" w:lineRule="exact"/>
        <w:ind w:firstLine="640" w:firstLineChars="200"/>
        <w:rPr>
          <w:rFonts w:hint="eastAsia" w:ascii="方正仿宋_GBK" w:eastAsia="方正仿宋_GBK"/>
          <w:kern w:val="0"/>
          <w:lang w:bidi="ar"/>
        </w:rPr>
      </w:pPr>
      <w:r>
        <w:rPr>
          <w:rFonts w:hint="eastAsia" w:eastAsia="仿宋_GB2312"/>
          <w:kern w:val="0"/>
        </w:rPr>
        <w:t>3.</w:t>
      </w:r>
      <w:r>
        <w:rPr>
          <w:rFonts w:hint="eastAsia" w:ascii="方正仿宋_GBK" w:eastAsia="方正仿宋_GBK"/>
          <w:kern w:val="0"/>
          <w:lang w:bidi="ar"/>
        </w:rPr>
        <w:t>本产品获证后的预计产能。</w:t>
      </w:r>
    </w:p>
    <w:p w14:paraId="31EAFFAA">
      <w:pPr>
        <w:widowControl/>
        <w:spacing w:line="600" w:lineRule="exact"/>
        <w:ind w:firstLine="640" w:firstLineChars="200"/>
        <w:rPr>
          <w:rFonts w:hint="eastAsia" w:ascii="方正楷体_GBK" w:eastAsia="方正楷体_GBK"/>
          <w:kern w:val="0"/>
          <w:lang w:bidi="ar"/>
        </w:rPr>
      </w:pPr>
      <w:r>
        <w:rPr>
          <w:rFonts w:hint="eastAsia" w:ascii="方正楷体_GBK" w:eastAsia="方正楷体_GBK"/>
          <w:kern w:val="0"/>
          <w:lang w:bidi="ar"/>
        </w:rPr>
        <w:t>（三）符合程序第四条第（三）~（五）项情形的，应当提交相关部门证明材料。</w:t>
      </w:r>
    </w:p>
    <w:p w14:paraId="3D0E7BF1">
      <w:pPr>
        <w:widowControl/>
        <w:spacing w:line="600" w:lineRule="exact"/>
        <w:ind w:firstLine="640" w:firstLineChars="200"/>
        <w:rPr>
          <w:rFonts w:hint="eastAsia" w:ascii="方正楷体_GBK" w:eastAsia="方正楷体_GBK"/>
          <w:kern w:val="0"/>
          <w:lang w:bidi="ar"/>
        </w:rPr>
      </w:pPr>
      <w:r>
        <w:rPr>
          <w:rFonts w:hint="eastAsia" w:ascii="方正楷体_GBK" w:eastAsia="方正楷体_GBK"/>
          <w:kern w:val="0"/>
          <w:lang w:bidi="ar"/>
        </w:rPr>
        <w:t>（四）符合程序第四条第（六）项情形的，应当提交有关理由陈述与证明材料。</w:t>
      </w:r>
    </w:p>
    <w:p w14:paraId="2669171E">
      <w:pPr>
        <w:widowControl/>
        <w:spacing w:line="600" w:lineRule="exact"/>
        <w:ind w:firstLine="640" w:firstLineChars="200"/>
        <w:rPr>
          <w:rFonts w:hint="eastAsia" w:ascii="黑体" w:eastAsia="黑体"/>
        </w:rPr>
      </w:pPr>
      <w:r>
        <w:rPr>
          <w:rFonts w:hint="eastAsia" w:ascii="黑体" w:eastAsia="黑体"/>
        </w:rPr>
        <w:t>二、格式要求</w:t>
      </w:r>
    </w:p>
    <w:p w14:paraId="3457D22D">
      <w:pPr>
        <w:widowControl/>
        <w:spacing w:line="600" w:lineRule="exact"/>
        <w:ind w:firstLine="640" w:firstLineChars="200"/>
        <w:rPr>
          <w:rFonts w:hint="eastAsia" w:ascii="方正仿宋_GBK" w:eastAsia="方正仿宋_GBK"/>
          <w:kern w:val="0"/>
          <w:lang w:bidi="ar"/>
        </w:rPr>
      </w:pPr>
      <w:r>
        <w:rPr>
          <w:rFonts w:hint="eastAsia" w:ascii="方正仿宋_GBK" w:eastAsia="方正仿宋_GBK"/>
          <w:kern w:val="0"/>
          <w:lang w:bidi="ar"/>
        </w:rPr>
        <w:t>（一）应提交申报资料目录，包括申报资料的一级和二级标题。每项二级标题对应的资料应单独编制页码。</w:t>
      </w:r>
    </w:p>
    <w:p w14:paraId="0FD28F08">
      <w:pPr>
        <w:widowControl/>
        <w:spacing w:line="600" w:lineRule="exact"/>
        <w:ind w:firstLine="640" w:firstLineChars="200"/>
        <w:rPr>
          <w:rFonts w:hint="eastAsia" w:ascii="方正仿宋_GBK" w:eastAsia="方正仿宋_GBK"/>
          <w:kern w:val="0"/>
          <w:lang w:bidi="ar"/>
        </w:rPr>
      </w:pPr>
      <w:r>
        <w:rPr>
          <w:rFonts w:hint="eastAsia" w:ascii="方正仿宋_GBK" w:eastAsia="方正仿宋_GBK"/>
          <w:kern w:val="0"/>
          <w:lang w:bidi="ar"/>
        </w:rPr>
        <w:t>（二）申报资料若无特别说明，均应为原件，并由注册申请人签章。“签章”是指：法定代表人、企业负责人签名并加盖企业公章。</w:t>
      </w:r>
    </w:p>
    <w:p w14:paraId="6A5B1DCF">
      <w:pPr>
        <w:widowControl/>
        <w:spacing w:line="600" w:lineRule="exact"/>
        <w:ind w:firstLine="640" w:firstLineChars="200"/>
        <w:rPr>
          <w:rFonts w:hint="eastAsia" w:ascii="方正仿宋_GBK" w:eastAsia="方正仿宋_GBK"/>
          <w:kern w:val="0"/>
          <w:lang w:bidi="ar"/>
        </w:rPr>
      </w:pPr>
      <w:r>
        <w:rPr>
          <w:rFonts w:hint="eastAsia" w:ascii="方正仿宋_GBK" w:eastAsia="方正仿宋_GBK"/>
          <w:kern w:val="0"/>
          <w:lang w:bidi="ar"/>
        </w:rPr>
        <w:t>（三）申报资料中如有复印件，复印件应当清晰并与原件一致。彩色图片、图表原则上应提供彩色副本。</w:t>
      </w:r>
    </w:p>
    <w:p w14:paraId="705FF657">
      <w:pPr>
        <w:widowControl/>
        <w:spacing w:line="600" w:lineRule="exact"/>
        <w:ind w:firstLine="640" w:firstLineChars="200"/>
        <w:rPr>
          <w:rFonts w:hint="eastAsia" w:ascii="方正仿宋_GBK" w:eastAsia="方正仿宋_GBK"/>
          <w:kern w:val="0"/>
          <w:lang w:bidi="ar"/>
        </w:rPr>
      </w:pPr>
    </w:p>
    <w:p w14:paraId="4C9233BF">
      <w:pPr>
        <w:widowControl/>
        <w:spacing w:line="600" w:lineRule="exact"/>
        <w:ind w:firstLine="640" w:firstLineChars="200"/>
        <w:rPr>
          <w:rFonts w:hint="eastAsia" w:ascii="方正仿宋_GBK" w:eastAsia="方正仿宋_GBK"/>
          <w:kern w:val="0"/>
          <w:lang w:bidi="ar"/>
        </w:rPr>
      </w:pPr>
    </w:p>
    <w:p w14:paraId="05EA7149">
      <w:pPr>
        <w:widowControl/>
        <w:adjustRightInd w:val="0"/>
        <w:snapToGrid w:val="0"/>
        <w:spacing w:line="590" w:lineRule="exact"/>
        <w:jc w:val="left"/>
        <w:rPr>
          <w:rFonts w:hint="eastAsia" w:ascii="方正黑体_GBK" w:eastAsia="方正黑体_GBK" w:cs="方正黑体_GBK"/>
          <w:kern w:val="0"/>
          <w:lang w:bidi="ar"/>
        </w:rPr>
      </w:pPr>
      <w:r>
        <w:rPr>
          <w:rFonts w:hint="eastAsia" w:ascii="黑体" w:eastAsia="黑体" w:cs="黑体"/>
          <w:kern w:val="0"/>
          <w:lang w:bidi="ar"/>
        </w:rPr>
        <w:br w:type="page"/>
      </w:r>
      <w:r>
        <w:rPr>
          <w:rFonts w:hint="eastAsia" w:ascii="方正黑体_GBK" w:eastAsia="方正黑体_GBK" w:cs="方正黑体_GBK"/>
          <w:kern w:val="0"/>
          <w:lang w:bidi="ar"/>
        </w:rPr>
        <w:t>附3</w:t>
      </w:r>
    </w:p>
    <w:p w14:paraId="70EB3F4F">
      <w:pPr>
        <w:widowControl/>
        <w:adjustRightInd w:val="0"/>
        <w:snapToGrid w:val="0"/>
        <w:spacing w:line="590" w:lineRule="exact"/>
        <w:jc w:val="left"/>
        <w:rPr>
          <w:rFonts w:hint="eastAsia" w:ascii="方正黑体_GBK" w:eastAsia="方正黑体_GBK" w:cs="方正黑体_GBK"/>
          <w:kern w:val="0"/>
          <w:lang w:bidi="ar"/>
        </w:rPr>
      </w:pPr>
    </w:p>
    <w:p w14:paraId="2343756D">
      <w:pPr>
        <w:widowControl/>
        <w:adjustRightInd w:val="0"/>
        <w:snapToGrid w:val="0"/>
        <w:spacing w:before="0" w:line="590" w:lineRule="exact"/>
        <w:jc w:val="center"/>
        <w:rPr>
          <w:rFonts w:hint="eastAsia" w:ascii="方正小标宋_GBK" w:eastAsia="方正小标宋_GBK" w:cs="方正小标宋_GBK"/>
          <w:spacing w:val="-4"/>
          <w:sz w:val="44"/>
          <w:szCs w:val="44"/>
          <w:lang w:bidi="ar-SA"/>
        </w:rPr>
      </w:pPr>
      <w:r>
        <w:rPr>
          <w:rFonts w:hint="eastAsia" w:ascii="方正小标宋_GBK" w:eastAsia="方正小标宋_GBK" w:cs="方正小标宋_GBK"/>
          <w:spacing w:val="-4"/>
          <w:kern w:val="0"/>
          <w:sz w:val="44"/>
          <w:szCs w:val="44"/>
          <w:lang w:bidi="ar"/>
        </w:rPr>
        <w:t>江苏省第二类医疗器械优先注册审核异议表</w:t>
      </w:r>
    </w:p>
    <w:p w14:paraId="313E13A5">
      <w:pPr>
        <w:widowControl/>
        <w:adjustRightInd w:val="0"/>
        <w:snapToGrid w:val="0"/>
        <w:spacing w:line="590" w:lineRule="exact"/>
        <w:jc w:val="center"/>
      </w:pPr>
    </w:p>
    <w:tbl>
      <w:tblPr>
        <w:tblStyle w:val="6"/>
        <w:tblW w:w="0" w:type="auto"/>
        <w:jc w:val="center"/>
        <w:tblLayout w:type="fixed"/>
        <w:tblCellMar>
          <w:top w:w="15" w:type="dxa"/>
          <w:left w:w="15" w:type="dxa"/>
          <w:bottom w:w="15" w:type="dxa"/>
          <w:right w:w="15" w:type="dxa"/>
        </w:tblCellMar>
      </w:tblPr>
      <w:tblGrid>
        <w:gridCol w:w="1714"/>
        <w:gridCol w:w="7751"/>
      </w:tblGrid>
      <w:tr w14:paraId="13C20543">
        <w:tblPrEx>
          <w:tblCellMar>
            <w:top w:w="15" w:type="dxa"/>
            <w:left w:w="15" w:type="dxa"/>
            <w:bottom w:w="15" w:type="dxa"/>
            <w:right w:w="15" w:type="dxa"/>
          </w:tblCellMar>
        </w:tblPrEx>
        <w:trPr>
          <w:jc w:val="center"/>
        </w:trPr>
        <w:tc>
          <w:tcPr>
            <w:tcW w:w="17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65DC03">
            <w:pPr>
              <w:widowControl/>
              <w:spacing w:line="440" w:lineRule="exact"/>
              <w:jc w:val="center"/>
            </w:pPr>
            <w:r>
              <w:rPr>
                <w:rFonts w:hint="eastAsia" w:ascii="仿宋" w:hAnsi="仿宋" w:cs="仿宋"/>
                <w:kern w:val="0"/>
                <w:sz w:val="28"/>
                <w:szCs w:val="28"/>
                <w:lang w:bidi="ar"/>
              </w:rPr>
              <w:t>异议提出人</w:t>
            </w:r>
          </w:p>
        </w:tc>
        <w:tc>
          <w:tcPr>
            <w:tcW w:w="775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6EF9AFA">
            <w:pPr>
              <w:widowControl/>
              <w:spacing w:line="440" w:lineRule="exact"/>
              <w:jc w:val="right"/>
            </w:pPr>
            <w:r>
              <w:rPr>
                <w:rFonts w:hint="eastAsia" w:ascii="仿宋" w:hAnsi="仿宋" w:cs="仿宋"/>
                <w:kern w:val="0"/>
                <w:sz w:val="28"/>
                <w:szCs w:val="28"/>
                <w:lang w:bidi="ar"/>
              </w:rPr>
              <w:t>（可为单位或个人）</w:t>
            </w:r>
          </w:p>
        </w:tc>
      </w:tr>
      <w:tr w14:paraId="57486380">
        <w:tblPrEx>
          <w:tblCellMar>
            <w:top w:w="15" w:type="dxa"/>
            <w:left w:w="15" w:type="dxa"/>
            <w:bottom w:w="15" w:type="dxa"/>
            <w:right w:w="15" w:type="dxa"/>
          </w:tblCellMar>
        </w:tblPrEx>
        <w:trPr>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7443CFE">
            <w:pPr>
              <w:widowControl/>
              <w:spacing w:line="440" w:lineRule="exact"/>
              <w:jc w:val="center"/>
            </w:pPr>
            <w:r>
              <w:rPr>
                <w:rFonts w:hint="eastAsia" w:ascii="仿宋" w:hAnsi="仿宋" w:cs="仿宋"/>
                <w:kern w:val="0"/>
                <w:sz w:val="28"/>
                <w:szCs w:val="28"/>
                <w:lang w:bidi="ar"/>
              </w:rPr>
              <w:t>工作单位</w:t>
            </w:r>
          </w:p>
        </w:tc>
        <w:tc>
          <w:tcPr>
            <w:tcW w:w="775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234A344">
            <w:pPr>
              <w:widowControl/>
              <w:spacing w:line="440" w:lineRule="exact"/>
              <w:jc w:val="center"/>
            </w:pPr>
          </w:p>
        </w:tc>
      </w:tr>
      <w:tr w14:paraId="122B0382">
        <w:tblPrEx>
          <w:tblCellMar>
            <w:top w:w="15" w:type="dxa"/>
            <w:left w:w="15" w:type="dxa"/>
            <w:bottom w:w="15" w:type="dxa"/>
            <w:right w:w="15" w:type="dxa"/>
          </w:tblCellMar>
        </w:tblPrEx>
        <w:trPr>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34535EF">
            <w:pPr>
              <w:widowControl/>
              <w:spacing w:line="440" w:lineRule="exact"/>
              <w:jc w:val="center"/>
            </w:pPr>
            <w:r>
              <w:rPr>
                <w:rFonts w:hint="eastAsia" w:ascii="仿宋" w:hAnsi="仿宋" w:cs="仿宋"/>
                <w:kern w:val="0"/>
                <w:sz w:val="28"/>
                <w:szCs w:val="28"/>
                <w:lang w:bidi="ar"/>
              </w:rPr>
              <w:t>联系方式</w:t>
            </w:r>
          </w:p>
        </w:tc>
        <w:tc>
          <w:tcPr>
            <w:tcW w:w="775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7F2E12A">
            <w:pPr>
              <w:widowControl/>
              <w:spacing w:line="440" w:lineRule="exact"/>
              <w:jc w:val="center"/>
            </w:pPr>
          </w:p>
        </w:tc>
      </w:tr>
      <w:tr w14:paraId="12F094F6">
        <w:tblPrEx>
          <w:tblCellMar>
            <w:top w:w="15" w:type="dxa"/>
            <w:left w:w="15" w:type="dxa"/>
            <w:bottom w:w="15" w:type="dxa"/>
            <w:right w:w="15" w:type="dxa"/>
          </w:tblCellMar>
        </w:tblPrEx>
        <w:trPr>
          <w:jc w:val="center"/>
        </w:trPr>
        <w:tc>
          <w:tcPr>
            <w:tcW w:w="946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605C48B">
            <w:pPr>
              <w:widowControl/>
              <w:spacing w:line="440" w:lineRule="exact"/>
              <w:jc w:val="center"/>
            </w:pPr>
            <w:r>
              <w:rPr>
                <w:rFonts w:hint="eastAsia" w:ascii="仿宋" w:hAnsi="仿宋" w:cs="仿宋"/>
                <w:kern w:val="0"/>
                <w:sz w:val="28"/>
                <w:szCs w:val="28"/>
                <w:lang w:bidi="ar"/>
              </w:rPr>
              <w:t>江苏省第二类医疗器械优先注册审核异议相关信息</w:t>
            </w:r>
          </w:p>
        </w:tc>
      </w:tr>
      <w:tr w14:paraId="3E651574">
        <w:tblPrEx>
          <w:tblCellMar>
            <w:top w:w="15" w:type="dxa"/>
            <w:left w:w="15" w:type="dxa"/>
            <w:bottom w:w="15" w:type="dxa"/>
            <w:right w:w="15" w:type="dxa"/>
          </w:tblCellMar>
        </w:tblPrEx>
        <w:trPr>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518215B">
            <w:pPr>
              <w:widowControl/>
              <w:spacing w:line="440" w:lineRule="exact"/>
              <w:jc w:val="center"/>
            </w:pPr>
            <w:r>
              <w:rPr>
                <w:rFonts w:hint="eastAsia" w:ascii="仿宋" w:hAnsi="仿宋" w:cs="仿宋"/>
                <w:kern w:val="0"/>
                <w:sz w:val="28"/>
                <w:szCs w:val="28"/>
                <w:lang w:bidi="ar"/>
              </w:rPr>
              <w:t>申请人</w:t>
            </w:r>
          </w:p>
        </w:tc>
        <w:tc>
          <w:tcPr>
            <w:tcW w:w="775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FAC4443">
            <w:pPr>
              <w:widowControl/>
              <w:spacing w:line="440" w:lineRule="exact"/>
              <w:jc w:val="center"/>
            </w:pPr>
          </w:p>
        </w:tc>
      </w:tr>
      <w:tr w14:paraId="475AB6CD">
        <w:tblPrEx>
          <w:tblCellMar>
            <w:top w:w="15" w:type="dxa"/>
            <w:left w:w="15" w:type="dxa"/>
            <w:bottom w:w="15" w:type="dxa"/>
            <w:right w:w="15" w:type="dxa"/>
          </w:tblCellMar>
        </w:tblPrEx>
        <w:trPr>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D117E5">
            <w:pPr>
              <w:widowControl/>
              <w:spacing w:line="440" w:lineRule="exact"/>
              <w:jc w:val="center"/>
            </w:pPr>
            <w:r>
              <w:rPr>
                <w:rFonts w:hint="eastAsia" w:ascii="仿宋" w:hAnsi="仿宋" w:cs="仿宋"/>
                <w:kern w:val="0"/>
                <w:sz w:val="28"/>
                <w:szCs w:val="28"/>
                <w:lang w:bidi="ar"/>
              </w:rPr>
              <w:t>产品名称</w:t>
            </w:r>
          </w:p>
        </w:tc>
        <w:tc>
          <w:tcPr>
            <w:tcW w:w="775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4184FB">
            <w:pPr>
              <w:widowControl/>
              <w:spacing w:line="440" w:lineRule="exact"/>
              <w:jc w:val="center"/>
            </w:pPr>
          </w:p>
        </w:tc>
      </w:tr>
      <w:tr w14:paraId="6181F671">
        <w:tblPrEx>
          <w:tblCellMar>
            <w:top w:w="15" w:type="dxa"/>
            <w:left w:w="15" w:type="dxa"/>
            <w:bottom w:w="15" w:type="dxa"/>
            <w:right w:w="15" w:type="dxa"/>
          </w:tblCellMar>
        </w:tblPrEx>
        <w:trPr>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DD41349">
            <w:pPr>
              <w:widowControl/>
              <w:spacing w:line="440" w:lineRule="exact"/>
              <w:jc w:val="center"/>
            </w:pPr>
            <w:r>
              <w:rPr>
                <w:rFonts w:hint="eastAsia" w:ascii="仿宋" w:hAnsi="仿宋" w:cs="仿宋"/>
                <w:kern w:val="0"/>
                <w:sz w:val="28"/>
                <w:szCs w:val="28"/>
                <w:lang w:bidi="ar"/>
              </w:rPr>
              <w:t>规格型号</w:t>
            </w:r>
          </w:p>
        </w:tc>
        <w:tc>
          <w:tcPr>
            <w:tcW w:w="775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031E8F5">
            <w:pPr>
              <w:widowControl/>
              <w:spacing w:line="440" w:lineRule="exact"/>
              <w:jc w:val="center"/>
            </w:pPr>
          </w:p>
        </w:tc>
      </w:tr>
      <w:tr w14:paraId="0702AB44">
        <w:tblPrEx>
          <w:tblCellMar>
            <w:top w:w="15" w:type="dxa"/>
            <w:left w:w="15" w:type="dxa"/>
            <w:bottom w:w="15" w:type="dxa"/>
            <w:right w:w="15" w:type="dxa"/>
          </w:tblCellMar>
        </w:tblPrEx>
        <w:trPr>
          <w:trHeight w:val="2390" w:hRule="atLeast"/>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84847F">
            <w:pPr>
              <w:widowControl/>
              <w:spacing w:line="440" w:lineRule="exact"/>
              <w:jc w:val="center"/>
            </w:pPr>
            <w:r>
              <w:rPr>
                <w:rFonts w:hint="eastAsia" w:ascii="仿宋" w:hAnsi="仿宋" w:cs="仿宋"/>
                <w:kern w:val="0"/>
                <w:sz w:val="28"/>
                <w:szCs w:val="28"/>
                <w:lang w:bidi="ar"/>
              </w:rPr>
              <w:t>优先注册审核异议的理由</w:t>
            </w:r>
          </w:p>
        </w:tc>
        <w:tc>
          <w:tcPr>
            <w:tcW w:w="7751"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F38938E">
            <w:pPr>
              <w:widowControl/>
              <w:spacing w:line="440" w:lineRule="exact"/>
            </w:pPr>
          </w:p>
          <w:p w14:paraId="7C3E9B7F">
            <w:pPr>
              <w:widowControl/>
              <w:spacing w:line="440" w:lineRule="exact"/>
            </w:pPr>
          </w:p>
          <w:p w14:paraId="7922828B">
            <w:pPr>
              <w:widowControl/>
              <w:spacing w:line="440" w:lineRule="exact"/>
            </w:pPr>
          </w:p>
          <w:p w14:paraId="0F58AFE1">
            <w:pPr>
              <w:widowControl/>
              <w:spacing w:line="440" w:lineRule="exact"/>
            </w:pPr>
          </w:p>
          <w:p w14:paraId="20E0C0A7">
            <w:pPr>
              <w:widowControl/>
              <w:spacing w:line="440" w:lineRule="exact"/>
              <w:rPr>
                <w:rFonts w:hint="eastAsia"/>
              </w:rPr>
            </w:pPr>
          </w:p>
          <w:p w14:paraId="4C85D03B">
            <w:pPr>
              <w:widowControl/>
              <w:spacing w:line="440" w:lineRule="exact"/>
            </w:pPr>
            <w:r>
              <w:rPr>
                <w:rFonts w:hint="eastAsia" w:ascii="仿宋" w:hAnsi="仿宋" w:cs="仿宋"/>
                <w:kern w:val="0"/>
                <w:sz w:val="28"/>
                <w:szCs w:val="28"/>
                <w:lang w:bidi="ar"/>
              </w:rPr>
              <w:t>注：说明优先注册审核异议的理由，相关依据可作为附件一并提交。</w:t>
            </w:r>
          </w:p>
        </w:tc>
      </w:tr>
      <w:tr w14:paraId="61F4FDCB">
        <w:tblPrEx>
          <w:tblCellMar>
            <w:top w:w="15" w:type="dxa"/>
            <w:left w:w="15" w:type="dxa"/>
            <w:bottom w:w="15" w:type="dxa"/>
            <w:right w:w="15" w:type="dxa"/>
          </w:tblCellMar>
        </w:tblPrEx>
        <w:trPr>
          <w:trHeight w:val="2779" w:hRule="atLeast"/>
          <w:jc w:val="center"/>
        </w:trPr>
        <w:tc>
          <w:tcPr>
            <w:tcW w:w="17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DF7A93">
            <w:pPr>
              <w:widowControl/>
              <w:spacing w:line="440" w:lineRule="exact"/>
              <w:jc w:val="center"/>
            </w:pPr>
            <w:r>
              <w:rPr>
                <w:rFonts w:hint="eastAsia" w:ascii="仿宋" w:hAnsi="仿宋" w:cs="仿宋"/>
                <w:kern w:val="0"/>
                <w:sz w:val="28"/>
                <w:szCs w:val="28"/>
                <w:lang w:bidi="ar"/>
              </w:rPr>
              <w:t>单位签章或个人签字</w:t>
            </w:r>
          </w:p>
        </w:tc>
        <w:tc>
          <w:tcPr>
            <w:tcW w:w="7751"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top"/>
          </w:tcPr>
          <w:p w14:paraId="6BA2D442">
            <w:pPr>
              <w:widowControl/>
              <w:spacing w:line="440" w:lineRule="exact"/>
              <w:ind w:firstLine="3808"/>
              <w:rPr>
                <w:rFonts w:hint="eastAsia" w:ascii="仿宋" w:hAnsi="仿宋" w:cs="仿宋"/>
                <w:kern w:val="0"/>
                <w:sz w:val="28"/>
                <w:szCs w:val="28"/>
                <w:lang w:bidi="ar"/>
              </w:rPr>
            </w:pPr>
          </w:p>
          <w:p w14:paraId="55F8E488">
            <w:pPr>
              <w:widowControl/>
              <w:spacing w:line="440" w:lineRule="exact"/>
              <w:ind w:firstLine="3808"/>
              <w:rPr>
                <w:rFonts w:ascii="仿宋" w:hAnsi="仿宋" w:cs="仿宋"/>
                <w:kern w:val="0"/>
                <w:sz w:val="28"/>
                <w:szCs w:val="28"/>
                <w:lang w:bidi="ar"/>
              </w:rPr>
            </w:pPr>
          </w:p>
          <w:p w14:paraId="279F89A8">
            <w:pPr>
              <w:widowControl/>
              <w:spacing w:line="440" w:lineRule="exact"/>
              <w:ind w:firstLine="3808"/>
              <w:rPr>
                <w:rFonts w:ascii="仿宋" w:hAnsi="仿宋" w:cs="仿宋"/>
                <w:kern w:val="0"/>
                <w:sz w:val="28"/>
                <w:szCs w:val="28"/>
                <w:lang w:bidi="ar"/>
              </w:rPr>
            </w:pPr>
          </w:p>
          <w:p w14:paraId="5B7FA19D">
            <w:pPr>
              <w:widowControl/>
              <w:spacing w:line="440" w:lineRule="exact"/>
              <w:ind w:firstLine="3808"/>
              <w:rPr>
                <w:rFonts w:ascii="仿宋" w:hAnsi="仿宋" w:cs="仿宋"/>
                <w:kern w:val="0"/>
                <w:sz w:val="28"/>
                <w:szCs w:val="28"/>
                <w:lang w:bidi="ar"/>
              </w:rPr>
            </w:pPr>
          </w:p>
          <w:p w14:paraId="26E050FA">
            <w:pPr>
              <w:widowControl/>
              <w:spacing w:line="440" w:lineRule="exact"/>
              <w:ind w:firstLine="3808"/>
              <w:rPr>
                <w:rFonts w:hint="eastAsia"/>
              </w:rPr>
            </w:pPr>
            <w:r>
              <w:rPr>
                <w:rFonts w:hint="eastAsia" w:ascii="仿宋" w:hAnsi="仿宋" w:cs="仿宋"/>
                <w:kern w:val="0"/>
                <w:sz w:val="28"/>
                <w:szCs w:val="28"/>
                <w:lang w:bidi="ar"/>
              </w:rPr>
              <w:t>年   月  日</w:t>
            </w:r>
          </w:p>
          <w:p w14:paraId="27B55BD3">
            <w:pPr>
              <w:widowControl/>
              <w:spacing w:line="440" w:lineRule="exact"/>
            </w:pPr>
            <w:r>
              <w:rPr>
                <w:rFonts w:hint="eastAsia" w:ascii="仿宋" w:hAnsi="仿宋" w:cs="仿宋"/>
                <w:kern w:val="0"/>
                <w:sz w:val="28"/>
                <w:szCs w:val="28"/>
                <w:lang w:bidi="ar"/>
              </w:rPr>
              <w:t>注：提出人为单位的，由单位签章；提出人为个人的，由个人签字。</w:t>
            </w:r>
          </w:p>
        </w:tc>
      </w:tr>
    </w:tbl>
    <w:p w14:paraId="1509BF18">
      <w:pPr>
        <w:adjustRightInd w:val="0"/>
        <w:snapToGrid w:val="0"/>
        <w:spacing w:line="590" w:lineRule="exact"/>
        <w:ind w:left="0"/>
        <w:sectPr>
          <w:footerReference r:id="rId3" w:type="default"/>
          <w:pgSz w:w="11906" w:h="16838"/>
          <w:pgMar w:top="1814" w:right="1531" w:bottom="1985" w:left="1531" w:header="720" w:footer="1474" w:gutter="0"/>
          <w:cols w:space="720" w:num="1"/>
          <w:docGrid w:type="lines" w:linePitch="312" w:charSpace="0"/>
        </w:sectPr>
      </w:pPr>
    </w:p>
    <w:p w14:paraId="3E99AEF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BF5D1">
    <w:pPr>
      <w:pStyle w:val="3"/>
      <w:ind w:right="0" w:firstLine="0"/>
      <w:jc w:val="cente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wps:spPr>
                    <wps:txbx>
                      <w:txbxContent>
                        <w:p w14:paraId="0345DAAD">
                          <w:pPr>
                            <w:pStyle w:val="3"/>
                            <w:jc w:val="center"/>
                            <w:rPr>
                              <w:rFonts w:ascii="Times New Roman" w:hAnsi="Times New Roman" w:cs="Times New Roman"/>
                              <w:sz w:val="28"/>
                              <w:szCs w:val="28"/>
                              <w:lang w:bidi="ar-SA"/>
                            </w:rPr>
                          </w:pPr>
                          <w:r>
                            <w:rPr>
                              <w:rStyle w:val="8"/>
                              <w:rFonts w:hint="default" w:ascii="Times New Roman" w:hAnsi="Times New Roman" w:eastAsia="方正仿宋_GBK" w:cs="Times New Roman"/>
                              <w:sz w:val="28"/>
                              <w:szCs w:val="28"/>
                              <w:lang w:bidi="ar-SA"/>
                            </w:rPr>
                            <w:t xml:space="preserve">— </w:t>
                          </w:r>
                          <w:r>
                            <w:rPr>
                              <w:rStyle w:val="8"/>
                              <w:rFonts w:hint="default" w:ascii="Times New Roman" w:hAnsi="Times New Roman" w:eastAsia="方正仿宋_GBK" w:cs="Times New Roman"/>
                              <w:sz w:val="28"/>
                              <w:szCs w:val="28"/>
                              <w:lang w:bidi="ar-SA"/>
                            </w:rPr>
                            <w:fldChar w:fldCharType="begin"/>
                          </w:r>
                          <w:r>
                            <w:rPr>
                              <w:rStyle w:val="8"/>
                              <w:rFonts w:hint="default" w:ascii="Times New Roman" w:hAnsi="Times New Roman" w:eastAsia="方正仿宋_GBK" w:cs="Times New Roman"/>
                              <w:sz w:val="28"/>
                              <w:szCs w:val="28"/>
                              <w:lang w:bidi="ar-SA"/>
                            </w:rPr>
                            <w:instrText xml:space="preserve">PAGE  </w:instrText>
                          </w:r>
                          <w:r>
                            <w:rPr>
                              <w:rStyle w:val="8"/>
                              <w:rFonts w:hint="default" w:ascii="Times New Roman" w:hAnsi="Times New Roman" w:eastAsia="方正仿宋_GBK" w:cs="Times New Roman"/>
                              <w:sz w:val="28"/>
                              <w:szCs w:val="28"/>
                              <w:lang w:bidi="ar-SA"/>
                            </w:rPr>
                            <w:fldChar w:fldCharType="separate"/>
                          </w:r>
                          <w:r>
                            <w:rPr>
                              <w:rStyle w:val="8"/>
                              <w:rFonts w:ascii="Times New Roman" w:hAnsi="Times New Roman" w:eastAsia="方正仿宋_GBK" w:cs="Times New Roman"/>
                              <w:sz w:val="28"/>
                              <w:szCs w:val="28"/>
                              <w:lang w:bidi="ar-SA"/>
                            </w:rPr>
                            <w:t>23</w:t>
                          </w:r>
                          <w:r>
                            <w:rPr>
                              <w:rStyle w:val="8"/>
                              <w:rFonts w:hint="default" w:ascii="Times New Roman" w:hAnsi="Times New Roman" w:eastAsia="方正仿宋_GBK" w:cs="Times New Roman"/>
                              <w:sz w:val="28"/>
                              <w:szCs w:val="28"/>
                              <w:lang w:bidi="ar-SA"/>
                            </w:rPr>
                            <w:fldChar w:fldCharType="end"/>
                          </w:r>
                          <w:r>
                            <w:rPr>
                              <w:rStyle w:val="8"/>
                              <w:rFonts w:hint="default" w:ascii="Times New Roman" w:hAnsi="Times New Roman" w:eastAsia="方正仿宋_GBK" w:cs="Times New Roman"/>
                              <w:sz w:val="28"/>
                              <w:szCs w:val="28"/>
                              <w:lang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SGsxdEAAAAEAQAADwAAAAAAAAABACAAAAAiAAAAZHJzL2Rvd25y&#10;ZXYueG1sUEsBAhQAFAAAAAgAh07iQNu9xoHMAQAAlwMAAA4AAAAAAAAAAQAgAAAAIAEAAGRycy9l&#10;Mm9Eb2MueG1sUEsFBgAAAAAGAAYAWQEAAF4FAAAAAA==&#10;">
              <v:fill on="f" focussize="0,0"/>
              <v:stroke on="f"/>
              <v:imagedata o:title=""/>
              <o:lock v:ext="edit" aspectratio="f"/>
              <v:textbox inset="0mm,0mm,0mm,0mm" style="mso-fit-shape-to-text:t;">
                <w:txbxContent>
                  <w:p w14:paraId="0345DAAD">
                    <w:pPr>
                      <w:pStyle w:val="3"/>
                      <w:jc w:val="center"/>
                      <w:rPr>
                        <w:rFonts w:ascii="Times New Roman" w:hAnsi="Times New Roman" w:cs="Times New Roman"/>
                        <w:sz w:val="28"/>
                        <w:szCs w:val="28"/>
                        <w:lang w:bidi="ar-SA"/>
                      </w:rPr>
                    </w:pPr>
                    <w:r>
                      <w:rPr>
                        <w:rStyle w:val="8"/>
                        <w:rFonts w:hint="default" w:ascii="Times New Roman" w:hAnsi="Times New Roman" w:eastAsia="方正仿宋_GBK" w:cs="Times New Roman"/>
                        <w:sz w:val="28"/>
                        <w:szCs w:val="28"/>
                        <w:lang w:bidi="ar-SA"/>
                      </w:rPr>
                      <w:t xml:space="preserve">— </w:t>
                    </w:r>
                    <w:r>
                      <w:rPr>
                        <w:rStyle w:val="8"/>
                        <w:rFonts w:hint="default" w:ascii="Times New Roman" w:hAnsi="Times New Roman" w:eastAsia="方正仿宋_GBK" w:cs="Times New Roman"/>
                        <w:sz w:val="28"/>
                        <w:szCs w:val="28"/>
                        <w:lang w:bidi="ar-SA"/>
                      </w:rPr>
                      <w:fldChar w:fldCharType="begin"/>
                    </w:r>
                    <w:r>
                      <w:rPr>
                        <w:rStyle w:val="8"/>
                        <w:rFonts w:hint="default" w:ascii="Times New Roman" w:hAnsi="Times New Roman" w:eastAsia="方正仿宋_GBK" w:cs="Times New Roman"/>
                        <w:sz w:val="28"/>
                        <w:szCs w:val="28"/>
                        <w:lang w:bidi="ar-SA"/>
                      </w:rPr>
                      <w:instrText xml:space="preserve">PAGE  </w:instrText>
                    </w:r>
                    <w:r>
                      <w:rPr>
                        <w:rStyle w:val="8"/>
                        <w:rFonts w:hint="default" w:ascii="Times New Roman" w:hAnsi="Times New Roman" w:eastAsia="方正仿宋_GBK" w:cs="Times New Roman"/>
                        <w:sz w:val="28"/>
                        <w:szCs w:val="28"/>
                        <w:lang w:bidi="ar-SA"/>
                      </w:rPr>
                      <w:fldChar w:fldCharType="separate"/>
                    </w:r>
                    <w:r>
                      <w:rPr>
                        <w:rStyle w:val="8"/>
                        <w:rFonts w:ascii="Times New Roman" w:hAnsi="Times New Roman" w:eastAsia="方正仿宋_GBK" w:cs="Times New Roman"/>
                        <w:sz w:val="28"/>
                        <w:szCs w:val="28"/>
                        <w:lang w:bidi="ar-SA"/>
                      </w:rPr>
                      <w:t>23</w:t>
                    </w:r>
                    <w:r>
                      <w:rPr>
                        <w:rStyle w:val="8"/>
                        <w:rFonts w:hint="default" w:ascii="Times New Roman" w:hAnsi="Times New Roman" w:eastAsia="方正仿宋_GBK" w:cs="Times New Roman"/>
                        <w:sz w:val="28"/>
                        <w:szCs w:val="28"/>
                        <w:lang w:bidi="ar-SA"/>
                      </w:rPr>
                      <w:fldChar w:fldCharType="end"/>
                    </w:r>
                    <w:r>
                      <w:rPr>
                        <w:rStyle w:val="8"/>
                        <w:rFonts w:hint="default" w:ascii="Times New Roman" w:hAnsi="Times New Roman" w:eastAsia="方正仿宋_GBK" w:cs="Times New Roman"/>
                        <w:sz w:val="28"/>
                        <w:szCs w:val="28"/>
                        <w:lang w:bidi="ar-S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C6DA1"/>
    <w:rsid w:val="166C6DA1"/>
    <w:rsid w:val="39AE18D5"/>
    <w:rsid w:val="51C20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ascii="Calibri" w:hAnsi="Calibri" w:eastAsia="宋体" w:cs="Arial"/>
      <w:sz w:val="18"/>
      <w:szCs w:val="18"/>
      <w:lang w:bidi="ar-SA"/>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Calibri" w:hAnsi="Calibri" w:eastAsia="宋体" w:cs="Arial"/>
      <w:sz w:val="18"/>
      <w:szCs w:val="18"/>
      <w:lang w:bidi="ar-SA"/>
    </w:rPr>
  </w:style>
  <w:style w:type="paragraph" w:styleId="5">
    <w:name w:val="Normal (Web)"/>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Calibri" w:hAnsi="Calibri" w:eastAsia="宋体" w:cs="Times New Roman"/>
      <w:snapToGrid/>
      <w:color w:val="auto"/>
      <w:spacing w:val="0"/>
      <w:w w:val="100"/>
      <w:kern w:val="0"/>
      <w:position w:val="0"/>
      <w:sz w:val="24"/>
      <w:szCs w:val="24"/>
      <w:u w:val="none" w:color="auto"/>
      <w:vertAlign w:val="baseline"/>
      <w:lang w:val="en-US" w:eastAsia="zh-CN" w:bidi="ar-SA"/>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3402</Words>
  <Characters>3441</Characters>
  <Lines>0</Lines>
  <Paragraphs>0</Paragraphs>
  <TotalTime>0</TotalTime>
  <ScaleCrop>false</ScaleCrop>
  <LinksUpToDate>false</LinksUpToDate>
  <CharactersWithSpaces>3487</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2026-09-16T02:05:00Z</dcterms:created>
  <dc:creator>一辈子</dc:creator>
  <cp:lastModifiedBy>一辈子</cp:lastModifiedBy>
  <dcterms:modified xsi:type="dcterms:W3CDTF">2026-09-16T06:58:23Z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A1E8378CCFB74B009BCF0D443BFE6C16_13</vt:lpwstr>
  </property>
  <property fmtid="{D5CDD505-2E9C-101B-9397-08002B2CF9AE}" pid="4" name="KSOTemplateDocerSaveRecord">
    <vt:lpwstr>eyJoZGlkIjoiZDZhOTk3NzA4NzU0NTkyNzc4NWRhZDAzZWFiNzgyZmIiLCJ1c2VySWQiOiIyODA4OTkxNzYifQ==</vt:lpwstr>
  </property>
</Properties>
</file>