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55A73D">
      <w:pPr>
        <w:adjustRightInd w:val="0"/>
        <w:snapToGrid w:val="0"/>
        <w:spacing w:line="590" w:lineRule="atLeast"/>
        <w:ind w:firstLine="0"/>
        <w:jc w:val="both"/>
        <w:rPr>
          <w:rFonts w:hint="eastAsia" w:ascii="方正黑体_GBK" w:eastAsia="方正黑体_GBK" w:cs="方正黑体_GBK"/>
          <w:color w:val="auto"/>
          <w:sz w:val="32"/>
          <w:szCs w:val="32"/>
        </w:rPr>
      </w:pPr>
      <w:r>
        <w:rPr>
          <w:rFonts w:hint="eastAsia" w:ascii="方正黑体_GBK" w:eastAsia="方正黑体_GBK" w:cs="方正黑体_GBK"/>
          <w:color w:val="auto"/>
          <w:sz w:val="32"/>
          <w:szCs w:val="32"/>
        </w:rPr>
        <w:t>附件</w:t>
      </w:r>
    </w:p>
    <w:p w14:paraId="696E83EC">
      <w:pPr>
        <w:adjustRightInd w:val="0"/>
        <w:snapToGrid w:val="0"/>
        <w:spacing w:line="590" w:lineRule="atLeast"/>
        <w:ind w:firstLine="0"/>
        <w:jc w:val="center"/>
        <w:rPr>
          <w:rFonts w:ascii="Times New Roman" w:hAnsi="Times New Roman" w:eastAsia="仿宋"/>
          <w:color w:val="auto"/>
          <w:sz w:val="44"/>
          <w:szCs w:val="44"/>
        </w:rPr>
      </w:pPr>
      <w:r>
        <w:rPr>
          <w:rFonts w:hint="eastAsia" w:ascii="Times New Roman" w:hAnsi="Times New Roman" w:eastAsia="方正小标宋_GBK"/>
          <w:color w:val="auto"/>
          <w:sz w:val="44"/>
          <w:szCs w:val="44"/>
        </w:rPr>
        <w:t>江苏省医疗器械生产企业质量安全主体责任等级评估标准</w:t>
      </w:r>
    </w:p>
    <w:p w14:paraId="38A8E171">
      <w:pPr>
        <w:adjustRightInd w:val="0"/>
        <w:snapToGrid w:val="0"/>
        <w:spacing w:before="0" w:beforeAutospacing="0" w:after="0" w:afterAutospacing="0" w:line="590" w:lineRule="atLeast"/>
        <w:ind w:left="0" w:firstLine="0" w:firstLineChars="0"/>
        <w:jc w:val="both"/>
        <w:rPr>
          <w:rStyle w:val="5"/>
          <w:rFonts w:ascii="方正仿宋_GBK" w:eastAsia="方正仿宋_GBK" w:cs="方正仿宋_GBK"/>
          <w:color w:val="000000"/>
          <w:sz w:val="32"/>
          <w:szCs w:val="32"/>
        </w:rPr>
      </w:pPr>
    </w:p>
    <w:p w14:paraId="00B31873">
      <w:pPr>
        <w:adjustRightInd w:val="0"/>
        <w:snapToGrid w:val="0"/>
        <w:spacing w:before="0" w:beforeAutospacing="0" w:after="0" w:afterAutospacing="0" w:line="590" w:lineRule="atLeast"/>
        <w:ind w:firstLine="640" w:firstLineChars="200"/>
        <w:jc w:val="both"/>
        <w:rPr>
          <w:rStyle w:val="5"/>
          <w:rFonts w:hint="eastAsia" w:ascii="方正仿宋_GBK" w:eastAsia="方正仿宋_GBK" w:cs="方正仿宋_GBK"/>
          <w:color w:val="000000"/>
          <w:sz w:val="32"/>
          <w:szCs w:val="32"/>
          <w:lang w:val="en-US" w:eastAsia="zh-CN"/>
        </w:rPr>
      </w:pPr>
      <w:r>
        <w:rPr>
          <w:rStyle w:val="5"/>
          <w:rFonts w:hint="eastAsia" w:ascii="方正仿宋_GBK" w:eastAsia="方正仿宋_GBK" w:cs="方正仿宋_GBK"/>
          <w:color w:val="000000"/>
          <w:sz w:val="32"/>
          <w:szCs w:val="32"/>
        </w:rPr>
        <w:t>生产企业对</w:t>
      </w:r>
      <w:r>
        <w:rPr>
          <w:rStyle w:val="5"/>
          <w:rFonts w:hint="eastAsia" w:ascii="方正仿宋_GBK" w:eastAsia="方正仿宋_GBK" w:cs="方正仿宋_GBK"/>
          <w:color w:val="000000"/>
          <w:sz w:val="32"/>
          <w:szCs w:val="32"/>
          <w:lang w:val="en-US" w:eastAsia="zh-CN"/>
        </w:rPr>
        <w:t>上一</w:t>
      </w:r>
      <w:r>
        <w:rPr>
          <w:rStyle w:val="5"/>
          <w:rFonts w:hint="eastAsia" w:ascii="方正仿宋_GBK" w:eastAsia="方正仿宋_GBK" w:cs="方正仿宋_GBK"/>
          <w:color w:val="000000"/>
          <w:sz w:val="32"/>
          <w:szCs w:val="32"/>
        </w:rPr>
        <w:t>年度发生的情况如实进行填报及自评。</w:t>
      </w:r>
      <w:r>
        <w:rPr>
          <w:rStyle w:val="5"/>
          <w:rFonts w:hint="eastAsia" w:ascii="方正仿宋_GBK" w:eastAsia="方正仿宋_GBK" w:cs="方正仿宋_GBK"/>
          <w:color w:val="000000"/>
          <w:sz w:val="32"/>
          <w:szCs w:val="32"/>
          <w:lang w:val="en-US" w:eastAsia="zh-CN"/>
        </w:rPr>
        <w:t>自评对照《企业等级评估评分细则》进行评分，如出现“直接评估为</w:t>
      </w:r>
      <w:r>
        <w:rPr>
          <w:rStyle w:val="5"/>
          <w:rFonts w:hint="default" w:ascii="Times New Roman" w:eastAsia="方正仿宋_GBK" w:cs="Times New Roman"/>
          <w:color w:val="000000"/>
          <w:sz w:val="32"/>
          <w:szCs w:val="32"/>
          <w:lang w:val="en-US" w:eastAsia="zh-CN"/>
        </w:rPr>
        <w:t>C</w:t>
      </w:r>
      <w:r>
        <w:rPr>
          <w:rStyle w:val="5"/>
          <w:rFonts w:hint="eastAsia" w:ascii="方正仿宋_GBK" w:eastAsia="方正仿宋_GBK" w:cs="方正仿宋_GBK"/>
          <w:color w:val="000000"/>
          <w:sz w:val="32"/>
          <w:szCs w:val="32"/>
          <w:lang w:val="en-US" w:eastAsia="zh-CN"/>
        </w:rPr>
        <w:t>级”情形之一的，不再继续打分。</w:t>
      </w:r>
    </w:p>
    <w:tbl>
      <w:tblPr>
        <w:tblStyle w:val="3"/>
        <w:tblW w:w="1538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5387"/>
      </w:tblGrid>
      <w:tr w14:paraId="58135E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jc w:val="center"/>
        </w:trPr>
        <w:tc>
          <w:tcPr>
            <w:tcW w:w="15387" w:type="dxa"/>
            <w:tcBorders>
              <w:top w:val="single" w:color="000000" w:sz="4" w:space="0"/>
              <w:left w:val="single" w:color="000000" w:sz="4" w:space="0"/>
              <w:bottom w:val="single" w:color="000000" w:sz="4" w:space="0"/>
              <w:right w:val="single" w:color="000000" w:sz="4" w:space="0"/>
            </w:tcBorders>
            <w:noWrap/>
            <w:vAlign w:val="center"/>
          </w:tcPr>
          <w:p w14:paraId="22FDCAE9">
            <w:pPr>
              <w:keepNext w:val="0"/>
              <w:keepLines w:val="0"/>
              <w:widowControl/>
              <w:numPr>
                <w:ilvl w:val="0"/>
                <w:numId w:val="1"/>
              </w:numPr>
              <w:suppressLineNumbers w:val="0"/>
              <w:adjustRightInd w:val="0"/>
              <w:snapToGrid w:val="0"/>
              <w:spacing w:line="500" w:lineRule="exact"/>
              <w:jc w:val="both"/>
              <w:textAlignment w:val="center"/>
              <w:rPr>
                <w:rFonts w:ascii="方正黑体_GBK" w:eastAsia="方正黑体_GBK" w:cs="方正黑体_GBK"/>
                <w:i w:val="0"/>
                <w:iCs w:val="0"/>
                <w:color w:val="auto"/>
                <w:kern w:val="0"/>
                <w:sz w:val="28"/>
                <w:szCs w:val="28"/>
                <w:u w:val="none"/>
                <w:lang w:val="en-US" w:eastAsia="zh-CN"/>
              </w:rPr>
            </w:pPr>
            <w:r>
              <w:rPr>
                <w:rFonts w:hint="eastAsia" w:ascii="方正黑体_GBK" w:eastAsia="方正黑体_GBK" w:cs="方正黑体_GBK"/>
                <w:i w:val="0"/>
                <w:iCs w:val="0"/>
                <w:color w:val="auto"/>
                <w:kern w:val="0"/>
                <w:sz w:val="28"/>
                <w:szCs w:val="28"/>
                <w:u w:val="none"/>
                <w:lang w:val="en-US" w:eastAsia="zh-CN"/>
              </w:rPr>
              <w:t>直接评估为C情形</w:t>
            </w:r>
          </w:p>
        </w:tc>
      </w:tr>
      <w:tr w14:paraId="04C93F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jc w:val="center"/>
        </w:trPr>
        <w:tc>
          <w:tcPr>
            <w:tcW w:w="15387" w:type="dxa"/>
            <w:tcBorders>
              <w:top w:val="single" w:color="000000" w:sz="4" w:space="0"/>
              <w:left w:val="single" w:color="000000" w:sz="4" w:space="0"/>
              <w:bottom w:val="single" w:color="000000" w:sz="4" w:space="0"/>
              <w:right w:val="single" w:color="000000" w:sz="4" w:space="0"/>
            </w:tcBorders>
            <w:noWrap/>
            <w:vAlign w:val="center"/>
          </w:tcPr>
          <w:p w14:paraId="6A810235">
            <w:pPr>
              <w:keepNext w:val="0"/>
              <w:keepLines w:val="0"/>
              <w:widowControl/>
              <w:suppressLineNumbers w:val="0"/>
              <w:adjustRightInd w:val="0"/>
              <w:snapToGrid w:val="0"/>
              <w:spacing w:line="500" w:lineRule="exact"/>
              <w:jc w:val="both"/>
              <w:textAlignment w:val="center"/>
              <w:rPr>
                <w:rFonts w:hint="eastAsia" w:ascii="Times New Roman" w:hAnsi="Times New Roman" w:eastAsia="方正仿宋_GBK"/>
                <w:color w:val="auto"/>
                <w:sz w:val="28"/>
                <w:szCs w:val="28"/>
                <w:lang w:val="en-US" w:eastAsia="zh-CN"/>
              </w:rPr>
            </w:pPr>
            <w:r>
              <w:rPr>
                <w:rFonts w:hint="eastAsia" w:ascii="Times New Roman" w:hAnsi="Times New Roman" w:eastAsia="方正仿宋_GBK"/>
                <w:color w:val="auto"/>
                <w:sz w:val="28"/>
                <w:szCs w:val="28"/>
                <w:lang w:val="en-US" w:eastAsia="zh-CN"/>
              </w:rPr>
              <w:t>1.</w:t>
            </w:r>
            <w:r>
              <w:rPr>
                <w:rFonts w:hint="eastAsia" w:ascii="Times New Roman" w:hAnsi="Times New Roman" w:eastAsia="方正仿宋_GBK"/>
                <w:color w:val="auto"/>
                <w:sz w:val="28"/>
                <w:szCs w:val="28"/>
              </w:rPr>
              <w:t>在行政许可、</w:t>
            </w:r>
            <w:r>
              <w:rPr>
                <w:rFonts w:hint="eastAsia" w:ascii="Times New Roman" w:hAnsi="Times New Roman" w:eastAsia="方正仿宋_GBK"/>
                <w:color w:val="auto"/>
                <w:sz w:val="28"/>
                <w:szCs w:val="28"/>
                <w:lang w:val="en-US" w:eastAsia="zh-CN"/>
              </w:rPr>
              <w:t>监督检查</w:t>
            </w:r>
            <w:r>
              <w:rPr>
                <w:rFonts w:hint="eastAsia" w:ascii="Times New Roman" w:hAnsi="Times New Roman" w:eastAsia="方正仿宋_GBK"/>
                <w:color w:val="auto"/>
                <w:sz w:val="28"/>
                <w:szCs w:val="28"/>
              </w:rPr>
              <w:t>、监督抽检、投诉举报等</w:t>
            </w:r>
            <w:r>
              <w:rPr>
                <w:rFonts w:hint="eastAsia" w:ascii="Times New Roman" w:hAnsi="Times New Roman" w:eastAsia="方正仿宋_GBK"/>
                <w:color w:val="auto"/>
                <w:sz w:val="28"/>
                <w:szCs w:val="28"/>
                <w:lang w:val="en-US" w:eastAsia="zh-CN"/>
              </w:rPr>
              <w:t>环节中</w:t>
            </w:r>
            <w:r>
              <w:rPr>
                <w:rFonts w:hint="eastAsia" w:ascii="Times New Roman" w:hAnsi="Times New Roman" w:eastAsia="方正仿宋_GBK"/>
                <w:color w:val="auto"/>
                <w:sz w:val="28"/>
                <w:szCs w:val="28"/>
              </w:rPr>
              <w:t>发现违法违规行为</w:t>
            </w:r>
            <w:r>
              <w:rPr>
                <w:rFonts w:hint="eastAsia" w:ascii="Times New Roman" w:hAnsi="Times New Roman" w:eastAsia="方正仿宋_GBK"/>
                <w:color w:val="auto"/>
                <w:sz w:val="28"/>
                <w:szCs w:val="28"/>
                <w:lang w:val="en-US" w:eastAsia="zh-CN"/>
              </w:rPr>
              <w:t>被</w:t>
            </w:r>
            <w:r>
              <w:rPr>
                <w:rFonts w:hint="eastAsia" w:ascii="Times New Roman" w:hAnsi="Times New Roman" w:eastAsia="方正仿宋_GBK"/>
                <w:color w:val="auto"/>
                <w:sz w:val="28"/>
                <w:szCs w:val="28"/>
              </w:rPr>
              <w:t>处罚的； 是</w:t>
            </w:r>
            <w:r>
              <w:rPr>
                <w:rFonts w:hint="eastAsia" w:ascii="Times New Roman" w:hAnsi="Times New Roman" w:eastAsia="方正仿宋_GBK"/>
                <w:color w:val="auto"/>
                <w:sz w:val="28"/>
                <w:szCs w:val="28"/>
              </w:rPr>
              <w:sym w:font="Wingdings 2" w:char="F0A3"/>
            </w:r>
            <w:r>
              <w:rPr>
                <w:rFonts w:hint="eastAsia" w:ascii="Times New Roman" w:hAnsi="Times New Roman" w:eastAsia="方正仿宋_GBK"/>
                <w:color w:val="auto"/>
                <w:sz w:val="28"/>
                <w:szCs w:val="28"/>
              </w:rPr>
              <w:t>否</w:t>
            </w:r>
            <w:r>
              <w:rPr>
                <w:rFonts w:hint="eastAsia" w:ascii="Times New Roman" w:hAnsi="Times New Roman" w:eastAsia="方正仿宋_GBK"/>
                <w:color w:val="auto"/>
                <w:sz w:val="28"/>
                <w:szCs w:val="28"/>
              </w:rPr>
              <w:sym w:font="Wingdings 2" w:char="F0A3"/>
            </w:r>
            <w:r>
              <w:rPr>
                <w:rFonts w:hint="eastAsia" w:ascii="Times New Roman" w:hAnsi="Times New Roman" w:eastAsia="方正仿宋_GBK"/>
                <w:color w:val="auto"/>
                <w:sz w:val="28"/>
                <w:szCs w:val="28"/>
              </w:rPr>
              <w:t xml:space="preserve"> </w:t>
            </w:r>
          </w:p>
        </w:tc>
      </w:tr>
      <w:tr w14:paraId="080038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jc w:val="center"/>
        </w:trPr>
        <w:tc>
          <w:tcPr>
            <w:tcW w:w="15387" w:type="dxa"/>
            <w:tcBorders>
              <w:top w:val="single" w:color="000000" w:sz="4" w:space="0"/>
              <w:left w:val="single" w:color="000000" w:sz="4" w:space="0"/>
              <w:bottom w:val="single" w:color="000000" w:sz="4" w:space="0"/>
              <w:right w:val="single" w:color="000000" w:sz="4" w:space="0"/>
            </w:tcBorders>
            <w:noWrap/>
            <w:vAlign w:val="center"/>
          </w:tcPr>
          <w:p w14:paraId="6ED0697A">
            <w:pPr>
              <w:keepNext w:val="0"/>
              <w:keepLines w:val="0"/>
              <w:widowControl/>
              <w:suppressLineNumbers w:val="0"/>
              <w:adjustRightInd w:val="0"/>
              <w:snapToGrid w:val="0"/>
              <w:spacing w:line="500" w:lineRule="exact"/>
              <w:jc w:val="both"/>
              <w:textAlignment w:val="center"/>
              <w:rPr>
                <w:rFonts w:ascii="方正黑体_GBK" w:eastAsia="方正黑体_GBK" w:cs="方正黑体_GBK"/>
                <w:b/>
                <w:bCs/>
                <w:i w:val="0"/>
                <w:iCs w:val="0"/>
                <w:color w:val="auto"/>
                <w:kern w:val="0"/>
                <w:sz w:val="28"/>
                <w:szCs w:val="28"/>
                <w:u w:val="none"/>
                <w:lang w:val="en-US" w:eastAsia="zh-CN"/>
              </w:rPr>
            </w:pPr>
            <w:r>
              <w:rPr>
                <w:rFonts w:hint="eastAsia" w:ascii="Times New Roman" w:hAnsi="Times New Roman" w:eastAsia="方正仿宋_GBK"/>
                <w:color w:val="auto"/>
                <w:sz w:val="28"/>
                <w:szCs w:val="28"/>
                <w:lang w:val="en-US" w:eastAsia="zh-CN"/>
              </w:rPr>
              <w:t>2.</w:t>
            </w:r>
            <w:r>
              <w:rPr>
                <w:rFonts w:hint="eastAsia" w:ascii="Times New Roman" w:hAnsi="Times New Roman" w:eastAsia="方正仿宋_GBK"/>
                <w:color w:val="auto"/>
                <w:sz w:val="28"/>
                <w:szCs w:val="28"/>
              </w:rPr>
              <w:t>上市产品因产品质量问题导致</w:t>
            </w:r>
            <w:r>
              <w:rPr>
                <w:rFonts w:hint="eastAsia" w:ascii="Times New Roman" w:hAnsi="Times New Roman" w:eastAsia="方正仿宋_GBK"/>
                <w:color w:val="auto"/>
                <w:sz w:val="28"/>
                <w:szCs w:val="28"/>
                <w:lang w:val="en-US" w:eastAsia="zh-CN"/>
              </w:rPr>
              <w:t>群发的</w:t>
            </w:r>
            <w:r>
              <w:rPr>
                <w:rFonts w:hint="eastAsia" w:ascii="Times New Roman" w:hAnsi="Times New Roman" w:eastAsia="方正仿宋_GBK"/>
                <w:color w:val="auto"/>
                <w:sz w:val="28"/>
                <w:szCs w:val="28"/>
              </w:rPr>
              <w:t>严重</w:t>
            </w:r>
            <w:r>
              <w:rPr>
                <w:rFonts w:hint="eastAsia" w:ascii="Times New Roman" w:hAnsi="Times New Roman" w:eastAsia="方正仿宋_GBK"/>
                <w:color w:val="auto"/>
                <w:sz w:val="28"/>
                <w:szCs w:val="28"/>
                <w:lang w:val="en-US" w:eastAsia="zh-CN"/>
              </w:rPr>
              <w:t>伤害或者死亡的</w:t>
            </w:r>
            <w:r>
              <w:rPr>
                <w:rFonts w:hint="eastAsia" w:ascii="Times New Roman" w:hAnsi="Times New Roman" w:eastAsia="方正仿宋_GBK"/>
                <w:color w:val="auto"/>
                <w:sz w:val="28"/>
                <w:szCs w:val="28"/>
              </w:rPr>
              <w:t>医疗器械不良事件的；</w:t>
            </w:r>
            <w:r>
              <w:rPr>
                <w:rFonts w:hint="eastAsia" w:ascii="Times New Roman" w:hAnsi="Times New Roman" w:eastAsia="方正仿宋_GBK"/>
                <w:color w:val="auto"/>
                <w:sz w:val="28"/>
                <w:szCs w:val="28"/>
                <w:lang w:val="en-US" w:eastAsia="zh-CN"/>
              </w:rPr>
              <w:t xml:space="preserve">     </w:t>
            </w:r>
            <w:r>
              <w:rPr>
                <w:rFonts w:hint="eastAsia" w:ascii="Times New Roman" w:hAnsi="Times New Roman" w:eastAsia="方正仿宋_GBK"/>
                <w:color w:val="auto"/>
                <w:sz w:val="28"/>
                <w:szCs w:val="28"/>
              </w:rPr>
              <w:t>是</w:t>
            </w:r>
            <w:r>
              <w:rPr>
                <w:rFonts w:hint="eastAsia" w:ascii="Times New Roman" w:hAnsi="Times New Roman" w:eastAsia="方正仿宋_GBK"/>
                <w:color w:val="auto"/>
                <w:sz w:val="28"/>
                <w:szCs w:val="28"/>
              </w:rPr>
              <w:sym w:font="Wingdings 2" w:char="F0A3"/>
            </w:r>
            <w:r>
              <w:rPr>
                <w:rFonts w:hint="eastAsia" w:ascii="Times New Roman" w:hAnsi="Times New Roman" w:eastAsia="方正仿宋_GBK"/>
                <w:color w:val="auto"/>
                <w:sz w:val="28"/>
                <w:szCs w:val="28"/>
              </w:rPr>
              <w:t>否</w:t>
            </w:r>
            <w:r>
              <w:rPr>
                <w:rFonts w:hint="eastAsia" w:ascii="Times New Roman" w:hAnsi="Times New Roman" w:eastAsia="方正仿宋_GBK"/>
                <w:color w:val="auto"/>
                <w:sz w:val="28"/>
                <w:szCs w:val="28"/>
              </w:rPr>
              <w:sym w:font="Wingdings 2" w:char="00A3"/>
            </w:r>
            <w:r>
              <w:rPr>
                <w:rFonts w:hint="eastAsia" w:ascii="Times New Roman" w:hAnsi="Times New Roman" w:eastAsia="方正仿宋_GBK"/>
                <w:color w:val="auto"/>
                <w:sz w:val="28"/>
                <w:szCs w:val="28"/>
              </w:rPr>
              <w:t xml:space="preserve"> </w:t>
            </w:r>
          </w:p>
        </w:tc>
      </w:tr>
      <w:tr w14:paraId="4882AA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jc w:val="center"/>
        </w:trPr>
        <w:tc>
          <w:tcPr>
            <w:tcW w:w="15387" w:type="dxa"/>
            <w:tcBorders>
              <w:top w:val="single" w:color="000000" w:sz="4" w:space="0"/>
              <w:left w:val="single" w:color="000000" w:sz="4" w:space="0"/>
              <w:bottom w:val="single" w:color="000000" w:sz="4" w:space="0"/>
              <w:right w:val="single" w:color="000000" w:sz="4" w:space="0"/>
            </w:tcBorders>
            <w:noWrap/>
            <w:vAlign w:val="center"/>
          </w:tcPr>
          <w:p w14:paraId="521AC5C6">
            <w:pPr>
              <w:widowControl/>
              <w:adjustRightInd w:val="0"/>
              <w:snapToGrid w:val="0"/>
              <w:spacing w:line="500" w:lineRule="exact"/>
              <w:jc w:val="both"/>
              <w:rPr>
                <w:rFonts w:hint="eastAsia" w:ascii="Times New Roman" w:hAnsi="Times New Roman" w:eastAsia="方正仿宋_GBK"/>
                <w:color w:val="auto"/>
                <w:sz w:val="28"/>
                <w:szCs w:val="28"/>
                <w:lang w:val="en-US" w:eastAsia="zh-CN"/>
              </w:rPr>
            </w:pPr>
            <w:r>
              <w:rPr>
                <w:rFonts w:hint="eastAsia" w:ascii="Times New Roman" w:hAnsi="Times New Roman" w:eastAsia="方正仿宋_GBK"/>
                <w:color w:val="auto"/>
                <w:sz w:val="28"/>
                <w:szCs w:val="28"/>
                <w:lang w:val="en-US" w:eastAsia="zh-CN"/>
              </w:rPr>
              <w:t>3.</w:t>
            </w:r>
            <w:r>
              <w:rPr>
                <w:rFonts w:hint="eastAsia" w:ascii="Times New Roman" w:hAnsi="Times New Roman" w:eastAsia="方正仿宋_GBK"/>
                <w:color w:val="auto"/>
                <w:sz w:val="28"/>
                <w:szCs w:val="28"/>
              </w:rPr>
              <w:t>因违规行为导致重大舆情</w:t>
            </w:r>
            <w:r>
              <w:rPr>
                <w:rFonts w:hint="eastAsia" w:ascii="Times New Roman" w:hAnsi="Times New Roman" w:eastAsia="方正仿宋_GBK"/>
                <w:color w:val="auto"/>
                <w:sz w:val="28"/>
                <w:szCs w:val="28"/>
                <w:lang w:eastAsia="zh-CN"/>
              </w:rPr>
              <w:t>，</w:t>
            </w:r>
            <w:r>
              <w:rPr>
                <w:rFonts w:hint="eastAsia" w:ascii="Times New Roman" w:hAnsi="Times New Roman" w:eastAsia="方正仿宋_GBK"/>
                <w:color w:val="auto"/>
                <w:sz w:val="28"/>
                <w:szCs w:val="28"/>
              </w:rPr>
              <w:t>造成负面影响或引发重大突发事件的；</w:t>
            </w:r>
            <w:r>
              <w:rPr>
                <w:rFonts w:hint="eastAsia" w:ascii="Times New Roman" w:hAnsi="Times New Roman" w:eastAsia="方正仿宋_GBK"/>
                <w:color w:val="auto"/>
                <w:sz w:val="28"/>
                <w:szCs w:val="28"/>
                <w:lang w:val="en-US" w:eastAsia="zh-CN"/>
              </w:rPr>
              <w:t xml:space="preserve">                 </w:t>
            </w:r>
            <w:r>
              <w:rPr>
                <w:rFonts w:hint="eastAsia" w:ascii="Times New Roman" w:hAnsi="Times New Roman" w:eastAsia="方正仿宋_GBK"/>
                <w:color w:val="auto"/>
                <w:sz w:val="28"/>
                <w:szCs w:val="28"/>
              </w:rPr>
              <w:t>是</w:t>
            </w:r>
            <w:r>
              <w:rPr>
                <w:rFonts w:hint="eastAsia" w:ascii="Times New Roman" w:hAnsi="Times New Roman" w:eastAsia="方正仿宋_GBK"/>
                <w:color w:val="auto"/>
                <w:sz w:val="28"/>
                <w:szCs w:val="28"/>
              </w:rPr>
              <w:sym w:font="Wingdings 2" w:char="F0A3"/>
            </w:r>
            <w:r>
              <w:rPr>
                <w:rFonts w:hint="eastAsia" w:ascii="Times New Roman" w:hAnsi="Times New Roman" w:eastAsia="方正仿宋_GBK"/>
                <w:color w:val="auto"/>
                <w:sz w:val="28"/>
                <w:szCs w:val="28"/>
              </w:rPr>
              <w:t>否</w:t>
            </w:r>
            <w:r>
              <w:rPr>
                <w:rFonts w:hint="eastAsia" w:ascii="Times New Roman" w:hAnsi="Times New Roman" w:eastAsia="方正仿宋_GBK"/>
                <w:color w:val="auto"/>
                <w:sz w:val="28"/>
                <w:szCs w:val="28"/>
              </w:rPr>
              <w:sym w:font="Wingdings 2" w:char="F0A3"/>
            </w:r>
            <w:r>
              <w:rPr>
                <w:rFonts w:hint="eastAsia" w:ascii="Times New Roman" w:hAnsi="Times New Roman" w:eastAsia="方正仿宋_GBK"/>
                <w:color w:val="auto"/>
                <w:sz w:val="28"/>
                <w:szCs w:val="28"/>
              </w:rPr>
              <w:t xml:space="preserve">    </w:t>
            </w:r>
          </w:p>
        </w:tc>
      </w:tr>
      <w:tr w14:paraId="775C82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jc w:val="center"/>
        </w:trPr>
        <w:tc>
          <w:tcPr>
            <w:tcW w:w="15387" w:type="dxa"/>
            <w:tcBorders>
              <w:top w:val="single" w:color="000000" w:sz="4" w:space="0"/>
              <w:left w:val="single" w:color="000000" w:sz="4" w:space="0"/>
              <w:bottom w:val="single" w:color="000000" w:sz="4" w:space="0"/>
              <w:right w:val="single" w:color="000000" w:sz="4" w:space="0"/>
            </w:tcBorders>
            <w:noWrap/>
            <w:vAlign w:val="center"/>
          </w:tcPr>
          <w:p w14:paraId="0FAFFE6E">
            <w:pPr>
              <w:widowControl/>
              <w:adjustRightInd w:val="0"/>
              <w:snapToGrid w:val="0"/>
              <w:spacing w:line="500" w:lineRule="exact"/>
              <w:jc w:val="both"/>
              <w:rPr>
                <w:rFonts w:hint="eastAsia" w:ascii="Times New Roman" w:hAnsi="Times New Roman" w:eastAsia="方正仿宋_GBK"/>
                <w:color w:val="auto"/>
                <w:sz w:val="28"/>
                <w:szCs w:val="28"/>
                <w:lang w:val="en-US" w:eastAsia="zh-CN"/>
              </w:rPr>
            </w:pPr>
            <w:r>
              <w:rPr>
                <w:rFonts w:hint="eastAsia" w:ascii="Times New Roman" w:hAnsi="Times New Roman" w:eastAsia="方正仿宋_GBK"/>
                <w:color w:val="auto"/>
                <w:sz w:val="28"/>
                <w:szCs w:val="28"/>
                <w:lang w:val="en-US" w:eastAsia="zh-CN"/>
              </w:rPr>
              <w:t>4.</w:t>
            </w:r>
            <w:r>
              <w:rPr>
                <w:rFonts w:hint="eastAsia" w:ascii="Times New Roman" w:hAnsi="Times New Roman" w:eastAsia="方正仿宋_GBK"/>
                <w:color w:val="auto"/>
                <w:sz w:val="28"/>
                <w:szCs w:val="28"/>
              </w:rPr>
              <w:t xml:space="preserve">应召回但未主动召回，被药监部门责令召回上市医疗器械的； </w:t>
            </w:r>
            <w:r>
              <w:rPr>
                <w:rFonts w:hint="eastAsia" w:ascii="Times New Roman" w:hAnsi="Times New Roman" w:eastAsia="方正仿宋_GBK"/>
                <w:color w:val="auto"/>
                <w:sz w:val="28"/>
                <w:szCs w:val="28"/>
                <w:lang w:val="en-US" w:eastAsia="zh-CN"/>
              </w:rPr>
              <w:t xml:space="preserve">                   </w:t>
            </w:r>
            <w:r>
              <w:rPr>
                <w:rFonts w:hint="eastAsia" w:ascii="Times New Roman" w:hAnsi="Times New Roman" w:eastAsia="方正仿宋_GBK"/>
                <w:color w:val="auto"/>
                <w:sz w:val="28"/>
                <w:szCs w:val="28"/>
              </w:rPr>
              <w:t xml:space="preserve"> 是</w:t>
            </w:r>
            <w:r>
              <w:rPr>
                <w:rFonts w:hint="eastAsia" w:ascii="Times New Roman" w:hAnsi="Times New Roman" w:eastAsia="方正仿宋_GBK"/>
                <w:color w:val="auto"/>
                <w:sz w:val="28"/>
                <w:szCs w:val="28"/>
              </w:rPr>
              <w:sym w:font="Wingdings 2" w:char="F0A3"/>
            </w:r>
            <w:r>
              <w:rPr>
                <w:rFonts w:hint="eastAsia" w:ascii="Times New Roman" w:hAnsi="Times New Roman" w:eastAsia="方正仿宋_GBK"/>
                <w:color w:val="auto"/>
                <w:sz w:val="28"/>
                <w:szCs w:val="28"/>
              </w:rPr>
              <w:t>否</w:t>
            </w:r>
            <w:r>
              <w:rPr>
                <w:rFonts w:hint="eastAsia" w:ascii="Times New Roman" w:hAnsi="Times New Roman" w:eastAsia="方正仿宋_GBK"/>
                <w:color w:val="auto"/>
                <w:sz w:val="28"/>
                <w:szCs w:val="28"/>
              </w:rPr>
              <w:sym w:font="Wingdings 2" w:char="F0A3"/>
            </w:r>
          </w:p>
        </w:tc>
      </w:tr>
      <w:tr w14:paraId="06C103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7" w:hRule="atLeast"/>
          <w:jc w:val="center"/>
        </w:trPr>
        <w:tc>
          <w:tcPr>
            <w:tcW w:w="15387" w:type="dxa"/>
            <w:tcBorders>
              <w:top w:val="single" w:color="000000" w:sz="4" w:space="0"/>
              <w:left w:val="single" w:color="000000" w:sz="4" w:space="0"/>
              <w:bottom w:val="single" w:color="000000" w:sz="4" w:space="0"/>
              <w:right w:val="single" w:color="000000" w:sz="4" w:space="0"/>
            </w:tcBorders>
            <w:noWrap/>
            <w:vAlign w:val="center"/>
          </w:tcPr>
          <w:p w14:paraId="0AB33F06">
            <w:pPr>
              <w:widowControl/>
              <w:adjustRightInd w:val="0"/>
              <w:snapToGrid w:val="0"/>
              <w:spacing w:line="500" w:lineRule="exact"/>
              <w:jc w:val="both"/>
              <w:rPr>
                <w:rFonts w:hint="eastAsia" w:ascii="Times New Roman" w:hAnsi="Times New Roman" w:eastAsia="方正仿宋_GBK"/>
                <w:color w:val="auto"/>
                <w:sz w:val="28"/>
                <w:szCs w:val="28"/>
                <w:lang w:val="en-US" w:eastAsia="zh-CN"/>
              </w:rPr>
            </w:pPr>
            <w:r>
              <w:rPr>
                <w:rFonts w:hint="eastAsia" w:ascii="Times New Roman" w:hAnsi="Times New Roman" w:eastAsia="方正仿宋_GBK"/>
                <w:color w:val="auto"/>
                <w:sz w:val="28"/>
                <w:szCs w:val="28"/>
                <w:lang w:val="en-US" w:eastAsia="zh-CN"/>
              </w:rPr>
              <w:t>5.在</w:t>
            </w:r>
            <w:r>
              <w:rPr>
                <w:rFonts w:hint="eastAsia" w:ascii="Times New Roman" w:hAnsi="Times New Roman" w:eastAsia="方正仿宋_GBK"/>
                <w:color w:val="auto"/>
                <w:sz w:val="28"/>
                <w:szCs w:val="28"/>
              </w:rPr>
              <w:t>行政许可、备案、生产经营等过程中提供虚假材料</w:t>
            </w:r>
            <w:r>
              <w:rPr>
                <w:rFonts w:hint="eastAsia" w:ascii="Times New Roman" w:hAnsi="Times New Roman" w:eastAsia="方正仿宋_GBK"/>
                <w:color w:val="auto"/>
                <w:sz w:val="28"/>
                <w:szCs w:val="28"/>
                <w:lang w:val="en-US" w:eastAsia="zh-CN"/>
              </w:rPr>
              <w:t>经查实</w:t>
            </w:r>
            <w:r>
              <w:rPr>
                <w:rFonts w:hint="eastAsia" w:ascii="Times New Roman" w:hAnsi="Times New Roman" w:eastAsia="方正仿宋_GBK"/>
                <w:color w:val="auto"/>
                <w:sz w:val="28"/>
                <w:szCs w:val="28"/>
              </w:rPr>
              <w:t xml:space="preserve">的；         </w:t>
            </w:r>
            <w:r>
              <w:rPr>
                <w:rFonts w:hint="eastAsia" w:ascii="Times New Roman" w:hAnsi="Times New Roman" w:eastAsia="方正仿宋_GBK"/>
                <w:color w:val="auto"/>
                <w:sz w:val="28"/>
                <w:szCs w:val="28"/>
                <w:lang w:val="en-US" w:eastAsia="zh-CN"/>
              </w:rPr>
              <w:t xml:space="preserve">        </w:t>
            </w:r>
            <w:r>
              <w:rPr>
                <w:rFonts w:hint="eastAsia" w:ascii="Times New Roman" w:hAnsi="Times New Roman" w:eastAsia="方正仿宋_GBK"/>
                <w:color w:val="auto"/>
                <w:sz w:val="28"/>
                <w:szCs w:val="28"/>
              </w:rPr>
              <w:t xml:space="preserve">  是</w:t>
            </w:r>
            <w:r>
              <w:rPr>
                <w:rFonts w:hint="eastAsia" w:ascii="Times New Roman" w:hAnsi="Times New Roman" w:eastAsia="方正仿宋_GBK"/>
                <w:color w:val="auto"/>
                <w:sz w:val="28"/>
                <w:szCs w:val="28"/>
              </w:rPr>
              <w:sym w:font="Wingdings 2" w:char="00A3"/>
            </w:r>
            <w:r>
              <w:rPr>
                <w:rFonts w:hint="eastAsia" w:ascii="Times New Roman" w:hAnsi="Times New Roman" w:eastAsia="方正仿宋_GBK"/>
                <w:color w:val="auto"/>
                <w:sz w:val="28"/>
                <w:szCs w:val="28"/>
              </w:rPr>
              <w:t>否</w:t>
            </w:r>
            <w:r>
              <w:rPr>
                <w:rFonts w:hint="eastAsia" w:ascii="Times New Roman" w:hAnsi="Times New Roman" w:eastAsia="方正仿宋_GBK"/>
                <w:color w:val="auto"/>
                <w:sz w:val="28"/>
                <w:szCs w:val="28"/>
              </w:rPr>
              <w:sym w:font="Wingdings 2" w:char="F0A3"/>
            </w:r>
          </w:p>
        </w:tc>
      </w:tr>
      <w:tr w14:paraId="4E5F80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jc w:val="center"/>
        </w:trPr>
        <w:tc>
          <w:tcPr>
            <w:tcW w:w="15387" w:type="dxa"/>
            <w:tcBorders>
              <w:top w:val="single" w:color="000000" w:sz="4" w:space="0"/>
              <w:left w:val="single" w:color="000000" w:sz="4" w:space="0"/>
              <w:bottom w:val="single" w:color="000000" w:sz="4" w:space="0"/>
              <w:right w:val="single" w:color="000000" w:sz="4" w:space="0"/>
            </w:tcBorders>
            <w:noWrap/>
            <w:vAlign w:val="center"/>
          </w:tcPr>
          <w:p w14:paraId="702FB6EE">
            <w:pPr>
              <w:widowControl/>
              <w:adjustRightInd w:val="0"/>
              <w:snapToGrid w:val="0"/>
              <w:spacing w:line="500" w:lineRule="exact"/>
              <w:jc w:val="both"/>
              <w:rPr>
                <w:rFonts w:hint="eastAsia" w:ascii="Times New Roman" w:hAnsi="Times New Roman" w:eastAsia="方正仿宋_GBK"/>
                <w:color w:val="auto"/>
                <w:sz w:val="28"/>
                <w:szCs w:val="28"/>
                <w:lang w:val="en-US" w:eastAsia="zh-CN"/>
              </w:rPr>
            </w:pPr>
            <w:r>
              <w:rPr>
                <w:rFonts w:hint="eastAsia" w:ascii="Times New Roman" w:hAnsi="Times New Roman" w:eastAsia="方正仿宋_GBK"/>
                <w:color w:val="auto"/>
                <w:sz w:val="28"/>
                <w:szCs w:val="28"/>
                <w:lang w:val="en-US" w:eastAsia="zh-CN"/>
              </w:rPr>
              <w:t>6.</w:t>
            </w:r>
            <w:r>
              <w:rPr>
                <w:rFonts w:hint="eastAsia" w:ascii="Times New Roman" w:hAnsi="Times New Roman" w:eastAsia="方正仿宋_GBK"/>
                <w:color w:val="auto"/>
                <w:sz w:val="28"/>
                <w:szCs w:val="28"/>
              </w:rPr>
              <w:t>无正当理由不配合现场检查、监督抽检工作或检查过程中</w:t>
            </w:r>
            <w:r>
              <w:rPr>
                <w:rFonts w:hint="eastAsia" w:ascii="Times New Roman" w:hAnsi="Times New Roman" w:eastAsia="方正仿宋_GBK"/>
                <w:color w:val="auto"/>
                <w:sz w:val="28"/>
                <w:szCs w:val="28"/>
                <w:lang w:val="en-US" w:eastAsia="zh-CN"/>
              </w:rPr>
              <w:t>故意</w:t>
            </w:r>
            <w:r>
              <w:rPr>
                <w:rFonts w:hint="eastAsia" w:ascii="Times New Roman" w:hAnsi="Times New Roman" w:eastAsia="方正仿宋_GBK"/>
                <w:color w:val="auto"/>
                <w:sz w:val="28"/>
                <w:szCs w:val="28"/>
              </w:rPr>
              <w:t>隐瞒有关情况的；     是</w:t>
            </w:r>
            <w:r>
              <w:rPr>
                <w:rFonts w:hint="eastAsia" w:ascii="Times New Roman" w:hAnsi="Times New Roman" w:eastAsia="方正仿宋_GBK"/>
                <w:color w:val="auto"/>
                <w:sz w:val="28"/>
                <w:szCs w:val="28"/>
              </w:rPr>
              <w:sym w:font="Wingdings 2" w:char="F0A3"/>
            </w:r>
            <w:r>
              <w:rPr>
                <w:rFonts w:hint="eastAsia" w:ascii="Times New Roman" w:hAnsi="Times New Roman" w:eastAsia="方正仿宋_GBK"/>
                <w:color w:val="auto"/>
                <w:sz w:val="28"/>
                <w:szCs w:val="28"/>
              </w:rPr>
              <w:t>否</w:t>
            </w:r>
            <w:r>
              <w:rPr>
                <w:rFonts w:hint="eastAsia" w:ascii="Times New Roman" w:hAnsi="Times New Roman" w:eastAsia="方正仿宋_GBK"/>
                <w:color w:val="auto"/>
                <w:sz w:val="28"/>
                <w:szCs w:val="28"/>
              </w:rPr>
              <w:sym w:font="Wingdings 2" w:char="F0A3"/>
            </w:r>
          </w:p>
        </w:tc>
      </w:tr>
      <w:tr w14:paraId="425950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jc w:val="center"/>
        </w:trPr>
        <w:tc>
          <w:tcPr>
            <w:tcW w:w="15387" w:type="dxa"/>
            <w:tcBorders>
              <w:top w:val="single" w:color="000000" w:sz="4" w:space="0"/>
              <w:left w:val="single" w:color="000000" w:sz="4" w:space="0"/>
              <w:bottom w:val="single" w:color="000000" w:sz="4" w:space="0"/>
              <w:right w:val="single" w:color="000000" w:sz="4" w:space="0"/>
            </w:tcBorders>
            <w:noWrap/>
            <w:vAlign w:val="center"/>
          </w:tcPr>
          <w:p w14:paraId="1B8F57D1">
            <w:pPr>
              <w:widowControl/>
              <w:adjustRightInd w:val="0"/>
              <w:snapToGrid w:val="0"/>
              <w:spacing w:line="500" w:lineRule="exact"/>
              <w:jc w:val="both"/>
              <w:rPr>
                <w:rFonts w:hint="eastAsia" w:ascii="Times New Roman" w:hAnsi="Times New Roman" w:eastAsia="方正仿宋_GBK" w:cs="Times New Roman"/>
                <w:color w:val="auto"/>
                <w:kern w:val="2"/>
                <w:sz w:val="28"/>
                <w:szCs w:val="28"/>
                <w:lang w:val="en-US" w:eastAsia="zh-CN" w:bidi="ar-SA"/>
              </w:rPr>
            </w:pPr>
            <w:r>
              <w:rPr>
                <w:rFonts w:hint="eastAsia" w:ascii="Times New Roman" w:hAnsi="Times New Roman" w:eastAsia="方正仿宋_GBK"/>
                <w:color w:val="auto"/>
                <w:sz w:val="28"/>
                <w:szCs w:val="28"/>
                <w:lang w:val="en-US" w:eastAsia="zh-CN"/>
              </w:rPr>
              <w:t>7.</w:t>
            </w:r>
            <w:r>
              <w:rPr>
                <w:rFonts w:hint="eastAsia" w:ascii="Times New Roman" w:hAnsi="Times New Roman" w:eastAsia="方正仿宋_GBK"/>
                <w:color w:val="auto"/>
                <w:sz w:val="28"/>
                <w:szCs w:val="28"/>
              </w:rPr>
              <w:t xml:space="preserve">监督检查结论为“停产整改”的；         </w:t>
            </w:r>
            <w:r>
              <w:rPr>
                <w:rFonts w:hint="eastAsia" w:ascii="Times New Roman" w:hAnsi="Times New Roman" w:eastAsia="方正仿宋_GBK"/>
                <w:color w:val="auto"/>
                <w:sz w:val="28"/>
                <w:szCs w:val="28"/>
                <w:lang w:val="en-US" w:eastAsia="zh-CN"/>
              </w:rPr>
              <w:t xml:space="preserve">                                   </w:t>
            </w:r>
            <w:r>
              <w:rPr>
                <w:rFonts w:hint="eastAsia" w:ascii="Times New Roman" w:hAnsi="Times New Roman" w:eastAsia="方正仿宋_GBK"/>
                <w:color w:val="auto"/>
                <w:sz w:val="28"/>
                <w:szCs w:val="28"/>
              </w:rPr>
              <w:t xml:space="preserve"> 是</w:t>
            </w:r>
            <w:r>
              <w:rPr>
                <w:rFonts w:hint="eastAsia" w:ascii="Times New Roman" w:hAnsi="Times New Roman" w:eastAsia="方正仿宋_GBK"/>
                <w:color w:val="auto"/>
                <w:sz w:val="28"/>
                <w:szCs w:val="28"/>
              </w:rPr>
              <w:sym w:font="Wingdings 2" w:char="F0A3"/>
            </w:r>
            <w:r>
              <w:rPr>
                <w:rFonts w:hint="eastAsia" w:ascii="Times New Roman" w:hAnsi="Times New Roman" w:eastAsia="方正仿宋_GBK"/>
                <w:color w:val="auto"/>
                <w:sz w:val="28"/>
                <w:szCs w:val="28"/>
              </w:rPr>
              <w:t>否</w:t>
            </w:r>
            <w:r>
              <w:rPr>
                <w:rFonts w:hint="eastAsia" w:ascii="Times New Roman" w:hAnsi="Times New Roman" w:eastAsia="方正仿宋_GBK"/>
                <w:color w:val="auto"/>
                <w:sz w:val="28"/>
                <w:szCs w:val="28"/>
              </w:rPr>
              <w:sym w:font="Wingdings 2" w:char="F0A3"/>
            </w:r>
            <w:r>
              <w:rPr>
                <w:rFonts w:hint="eastAsia" w:ascii="Times New Roman" w:hAnsi="Times New Roman" w:eastAsia="方正仿宋_GBK"/>
                <w:color w:val="auto"/>
                <w:sz w:val="28"/>
                <w:szCs w:val="28"/>
              </w:rPr>
              <w:t xml:space="preserve"> </w:t>
            </w:r>
          </w:p>
        </w:tc>
      </w:tr>
      <w:tr w14:paraId="2F6F30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jc w:val="center"/>
        </w:trPr>
        <w:tc>
          <w:tcPr>
            <w:tcW w:w="15387" w:type="dxa"/>
            <w:tcBorders>
              <w:top w:val="single" w:color="000000" w:sz="4" w:space="0"/>
              <w:left w:val="single" w:color="000000" w:sz="4" w:space="0"/>
              <w:bottom w:val="single" w:color="000000" w:sz="4" w:space="0"/>
              <w:right w:val="single" w:color="000000" w:sz="4" w:space="0"/>
            </w:tcBorders>
            <w:noWrap/>
            <w:vAlign w:val="center"/>
          </w:tcPr>
          <w:p w14:paraId="0AE66C73">
            <w:pPr>
              <w:widowControl/>
              <w:adjustRightInd w:val="0"/>
              <w:snapToGrid w:val="0"/>
              <w:spacing w:line="500" w:lineRule="exact"/>
              <w:jc w:val="both"/>
              <w:rPr>
                <w:rFonts w:hint="eastAsia" w:ascii="Times New Roman" w:hAnsi="Times New Roman" w:eastAsia="方正仿宋_GBK" w:cs="Times New Roman"/>
                <w:color w:val="auto"/>
                <w:kern w:val="2"/>
                <w:sz w:val="28"/>
                <w:szCs w:val="28"/>
                <w:lang w:val="en-US" w:eastAsia="zh-CN" w:bidi="ar-SA"/>
              </w:rPr>
            </w:pPr>
            <w:r>
              <w:rPr>
                <w:rFonts w:hint="eastAsia" w:ascii="Times New Roman" w:hAnsi="Times New Roman" w:eastAsia="方正仿宋_GBK"/>
                <w:color w:val="auto"/>
                <w:sz w:val="28"/>
                <w:szCs w:val="28"/>
                <w:lang w:val="en-US" w:eastAsia="zh-CN"/>
              </w:rPr>
              <w:t>8.</w:t>
            </w:r>
            <w:r>
              <w:rPr>
                <w:rFonts w:hint="eastAsia" w:ascii="Times New Roman" w:hAnsi="Times New Roman" w:eastAsia="方正仿宋_GBK"/>
                <w:color w:val="auto"/>
                <w:sz w:val="28"/>
                <w:szCs w:val="28"/>
              </w:rPr>
              <w:t xml:space="preserve">存在严重失信行为，信用等级被评定为失信的； </w:t>
            </w:r>
            <w:r>
              <w:rPr>
                <w:rFonts w:hint="eastAsia" w:ascii="Times New Roman" w:hAnsi="Times New Roman" w:eastAsia="方正仿宋_GBK"/>
                <w:color w:val="auto"/>
                <w:sz w:val="28"/>
                <w:szCs w:val="28"/>
                <w:lang w:val="en-US" w:eastAsia="zh-CN"/>
              </w:rPr>
              <w:t xml:space="preserve">                                </w:t>
            </w:r>
            <w:r>
              <w:rPr>
                <w:rFonts w:hint="eastAsia" w:ascii="Times New Roman" w:hAnsi="Times New Roman" w:eastAsia="方正仿宋_GBK"/>
                <w:color w:val="auto"/>
                <w:sz w:val="28"/>
                <w:szCs w:val="28"/>
              </w:rPr>
              <w:t>是</w:t>
            </w:r>
            <w:r>
              <w:rPr>
                <w:rFonts w:hint="eastAsia" w:ascii="Times New Roman" w:hAnsi="Times New Roman" w:eastAsia="方正仿宋_GBK"/>
                <w:color w:val="auto"/>
                <w:sz w:val="28"/>
                <w:szCs w:val="28"/>
              </w:rPr>
              <w:sym w:font="Wingdings 2" w:char="F0A3"/>
            </w:r>
            <w:r>
              <w:rPr>
                <w:rFonts w:hint="eastAsia" w:ascii="Times New Roman" w:hAnsi="Times New Roman" w:eastAsia="方正仿宋_GBK"/>
                <w:color w:val="auto"/>
                <w:sz w:val="28"/>
                <w:szCs w:val="28"/>
              </w:rPr>
              <w:t>否</w:t>
            </w:r>
            <w:r>
              <w:rPr>
                <w:rFonts w:hint="eastAsia" w:ascii="Times New Roman" w:hAnsi="Times New Roman" w:eastAsia="方正仿宋_GBK"/>
                <w:color w:val="auto"/>
                <w:sz w:val="28"/>
                <w:szCs w:val="28"/>
              </w:rPr>
              <w:sym w:font="Wingdings 2" w:char="F0A3"/>
            </w:r>
            <w:r>
              <w:rPr>
                <w:rFonts w:hint="eastAsia" w:ascii="Times New Roman" w:hAnsi="Times New Roman" w:eastAsia="方正仿宋_GBK"/>
                <w:color w:val="auto"/>
                <w:sz w:val="28"/>
                <w:szCs w:val="28"/>
              </w:rPr>
              <w:t xml:space="preserve"> </w:t>
            </w:r>
          </w:p>
        </w:tc>
      </w:tr>
      <w:tr w14:paraId="37DE64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jc w:val="center"/>
        </w:trPr>
        <w:tc>
          <w:tcPr>
            <w:tcW w:w="153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FD8F8">
            <w:pPr>
              <w:widowControl/>
              <w:adjustRightInd w:val="0"/>
              <w:snapToGrid w:val="0"/>
              <w:spacing w:line="500" w:lineRule="exact"/>
              <w:jc w:val="both"/>
              <w:rPr>
                <w:rFonts w:hint="eastAsia" w:ascii="Times New Roman" w:hAnsi="Times New Roman" w:eastAsia="方正仿宋_GBK" w:cs="Times New Roman"/>
                <w:color w:val="auto"/>
                <w:kern w:val="2"/>
                <w:sz w:val="28"/>
                <w:szCs w:val="28"/>
                <w:lang w:val="en-US" w:eastAsia="zh-CN" w:bidi="ar-SA"/>
              </w:rPr>
            </w:pPr>
            <w:r>
              <w:rPr>
                <w:rFonts w:hint="eastAsia" w:ascii="Times New Roman" w:hAnsi="Times New Roman" w:eastAsia="方正仿宋_GBK"/>
                <w:color w:val="auto"/>
                <w:sz w:val="28"/>
                <w:szCs w:val="28"/>
                <w:lang w:val="en-US" w:eastAsia="zh-CN"/>
              </w:rPr>
              <w:t>9.</w:t>
            </w:r>
            <w:r>
              <w:rPr>
                <w:rFonts w:hint="eastAsia" w:ascii="Times New Roman" w:hAnsi="Times New Roman" w:eastAsia="方正仿宋_GBK"/>
                <w:color w:val="auto"/>
                <w:sz w:val="28"/>
                <w:szCs w:val="28"/>
              </w:rPr>
              <w:t>未在规定时间内上传</w:t>
            </w:r>
            <w:r>
              <w:rPr>
                <w:rFonts w:hint="eastAsia" w:ascii="Times New Roman" w:hAnsi="Times New Roman" w:eastAsia="方正仿宋_GBK"/>
                <w:color w:val="auto"/>
                <w:sz w:val="28"/>
                <w:szCs w:val="28"/>
                <w:lang w:val="en-US" w:eastAsia="zh-CN"/>
              </w:rPr>
              <w:t>年度质量体系自查或企业等级自评</w:t>
            </w:r>
            <w:r>
              <w:rPr>
                <w:rFonts w:hint="eastAsia" w:ascii="Times New Roman" w:hAnsi="Times New Roman" w:eastAsia="方正仿宋_GBK"/>
                <w:color w:val="auto"/>
                <w:sz w:val="28"/>
                <w:szCs w:val="28"/>
              </w:rPr>
              <w:t>报告的</w:t>
            </w:r>
            <w:r>
              <w:rPr>
                <w:rFonts w:hint="eastAsia" w:ascii="Times New Roman" w:hAnsi="Times New Roman" w:eastAsia="方正仿宋_GBK"/>
                <w:color w:val="auto"/>
                <w:sz w:val="28"/>
                <w:szCs w:val="28"/>
                <w:lang w:eastAsia="zh-CN"/>
              </w:rPr>
              <w:t>；</w:t>
            </w:r>
            <w:r>
              <w:rPr>
                <w:rFonts w:hint="eastAsia" w:ascii="Times New Roman" w:hAnsi="Times New Roman" w:eastAsia="方正仿宋_GBK"/>
                <w:color w:val="auto"/>
                <w:sz w:val="28"/>
                <w:szCs w:val="28"/>
                <w:lang w:val="en-US" w:eastAsia="zh-CN"/>
              </w:rPr>
              <w:t xml:space="preserve">                   </w:t>
            </w:r>
            <w:r>
              <w:rPr>
                <w:rFonts w:hint="eastAsia" w:ascii="Times New Roman" w:hAnsi="Times New Roman" w:eastAsia="方正仿宋_GBK"/>
                <w:color w:val="auto"/>
                <w:sz w:val="28"/>
                <w:szCs w:val="28"/>
              </w:rPr>
              <w:t>是</w:t>
            </w:r>
            <w:r>
              <w:rPr>
                <w:rFonts w:hint="eastAsia" w:ascii="Times New Roman" w:hAnsi="Times New Roman" w:eastAsia="方正仿宋_GBK"/>
                <w:color w:val="auto"/>
                <w:sz w:val="28"/>
                <w:szCs w:val="28"/>
              </w:rPr>
              <w:sym w:font="Wingdings 2" w:char="F0A3"/>
            </w:r>
            <w:r>
              <w:rPr>
                <w:rFonts w:hint="eastAsia" w:ascii="Times New Roman" w:hAnsi="Times New Roman" w:eastAsia="方正仿宋_GBK"/>
                <w:color w:val="auto"/>
                <w:sz w:val="28"/>
                <w:szCs w:val="28"/>
              </w:rPr>
              <w:t>否</w:t>
            </w:r>
            <w:r>
              <w:rPr>
                <w:rFonts w:hint="eastAsia" w:ascii="Times New Roman" w:hAnsi="Times New Roman" w:eastAsia="方正仿宋_GBK"/>
                <w:color w:val="auto"/>
                <w:sz w:val="28"/>
                <w:szCs w:val="28"/>
              </w:rPr>
              <w:sym w:font="Wingdings 2" w:char="F0A3"/>
            </w:r>
            <w:r>
              <w:rPr>
                <w:rFonts w:hint="eastAsia" w:ascii="Times New Roman" w:hAnsi="Times New Roman" w:eastAsia="方正仿宋_GBK"/>
                <w:color w:val="auto"/>
                <w:sz w:val="28"/>
                <w:szCs w:val="28"/>
              </w:rPr>
              <w:t xml:space="preserve">   </w:t>
            </w:r>
          </w:p>
        </w:tc>
      </w:tr>
      <w:tr w14:paraId="62CA25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jc w:val="center"/>
        </w:trPr>
        <w:tc>
          <w:tcPr>
            <w:tcW w:w="153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38677">
            <w:pPr>
              <w:widowControl/>
              <w:adjustRightInd w:val="0"/>
              <w:snapToGrid w:val="0"/>
              <w:spacing w:line="500" w:lineRule="exact"/>
              <w:jc w:val="both"/>
              <w:rPr>
                <w:rFonts w:hint="eastAsia" w:ascii="Times New Roman" w:hAnsi="Times New Roman" w:eastAsia="方正仿宋_GBK" w:cs="Times New Roman"/>
                <w:color w:val="auto"/>
                <w:kern w:val="2"/>
                <w:sz w:val="28"/>
                <w:szCs w:val="28"/>
                <w:lang w:val="en-US" w:eastAsia="zh-CN" w:bidi="ar-SA"/>
              </w:rPr>
            </w:pPr>
            <w:r>
              <w:rPr>
                <w:rFonts w:hint="eastAsia" w:ascii="Times New Roman" w:hAnsi="Times New Roman" w:eastAsia="方正仿宋_GBK"/>
                <w:color w:val="auto"/>
                <w:sz w:val="28"/>
                <w:szCs w:val="28"/>
                <w:lang w:val="en-US" w:eastAsia="zh-CN"/>
              </w:rPr>
              <w:t>10.</w:t>
            </w:r>
            <w:r>
              <w:rPr>
                <w:rFonts w:hint="eastAsia" w:ascii="Times New Roman" w:hAnsi="Times New Roman" w:eastAsia="方正仿宋_GBK"/>
                <w:color w:val="auto"/>
                <w:sz w:val="28"/>
                <w:szCs w:val="28"/>
              </w:rPr>
              <w:t>经监管部门评估其他应当为C级的情形。</w:t>
            </w:r>
            <w:r>
              <w:rPr>
                <w:rFonts w:hint="eastAsia" w:ascii="Times New Roman" w:hAnsi="Times New Roman" w:eastAsia="方正仿宋_GBK"/>
                <w:color w:val="auto"/>
                <w:sz w:val="28"/>
                <w:szCs w:val="28"/>
                <w:lang w:val="en-US" w:eastAsia="zh-CN"/>
              </w:rPr>
              <w:t xml:space="preserve">                                     </w:t>
            </w:r>
            <w:r>
              <w:rPr>
                <w:rFonts w:hint="eastAsia" w:ascii="Times New Roman" w:hAnsi="Times New Roman" w:eastAsia="方正仿宋_GBK"/>
                <w:color w:val="auto"/>
                <w:sz w:val="28"/>
                <w:szCs w:val="28"/>
              </w:rPr>
              <w:t>是</w:t>
            </w:r>
            <w:r>
              <w:rPr>
                <w:rFonts w:hint="eastAsia" w:ascii="Times New Roman" w:hAnsi="Times New Roman" w:eastAsia="方正仿宋_GBK"/>
                <w:color w:val="auto"/>
                <w:sz w:val="28"/>
                <w:szCs w:val="28"/>
              </w:rPr>
              <w:sym w:font="Wingdings 2" w:char="F0A3"/>
            </w:r>
            <w:r>
              <w:rPr>
                <w:rFonts w:hint="eastAsia" w:ascii="Times New Roman" w:hAnsi="Times New Roman" w:eastAsia="方正仿宋_GBK"/>
                <w:color w:val="auto"/>
                <w:sz w:val="28"/>
                <w:szCs w:val="28"/>
              </w:rPr>
              <w:t>否</w:t>
            </w:r>
            <w:r>
              <w:rPr>
                <w:rFonts w:hint="eastAsia" w:ascii="Times New Roman" w:hAnsi="Times New Roman" w:eastAsia="方正仿宋_GBK"/>
                <w:color w:val="auto"/>
                <w:sz w:val="28"/>
                <w:szCs w:val="28"/>
              </w:rPr>
              <w:sym w:font="Wingdings 2" w:char="F0A3"/>
            </w:r>
            <w:r>
              <w:rPr>
                <w:rFonts w:hint="eastAsia" w:ascii="Times New Roman" w:hAnsi="Times New Roman" w:eastAsia="方正仿宋_GBK"/>
                <w:color w:val="auto"/>
                <w:sz w:val="28"/>
                <w:szCs w:val="28"/>
              </w:rPr>
              <w:t xml:space="preserve">    </w:t>
            </w:r>
          </w:p>
        </w:tc>
      </w:tr>
    </w:tbl>
    <w:p w14:paraId="58638229">
      <w:pPr>
        <w:adjustRightInd w:val="0"/>
        <w:snapToGrid w:val="0"/>
        <w:spacing w:before="0" w:beforeAutospacing="0" w:after="0" w:afterAutospacing="0" w:line="590" w:lineRule="atLeast"/>
        <w:jc w:val="both"/>
        <w:rPr>
          <w:rStyle w:val="5"/>
          <w:rFonts w:hint="eastAsia" w:ascii="方正仿宋_GBK" w:eastAsia="方正仿宋_GBK" w:cs="方正仿宋_GBK"/>
          <w:color w:val="auto"/>
          <w:sz w:val="32"/>
          <w:szCs w:val="32"/>
          <w:lang w:val="en-US" w:eastAsia="zh-CN"/>
        </w:rPr>
        <w:sectPr>
          <w:pgSz w:w="16840" w:h="11907" w:orient="landscape"/>
          <w:pgMar w:top="1531" w:right="1814" w:bottom="1531" w:left="1985" w:header="851" w:footer="992" w:gutter="0"/>
          <w:pgNumType w:fmt="decimal"/>
          <w:cols w:space="720" w:num="1"/>
          <w:rtlGutter w:val="1"/>
          <w:docGrid w:type="lines" w:linePitch="315" w:charSpace="0"/>
        </w:sectPr>
      </w:pPr>
    </w:p>
    <w:tbl>
      <w:tblPr>
        <w:tblStyle w:val="3"/>
        <w:tblW w:w="1552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28"/>
        <w:gridCol w:w="1409"/>
        <w:gridCol w:w="4152"/>
        <w:gridCol w:w="863"/>
        <w:gridCol w:w="5470"/>
        <w:gridCol w:w="810"/>
        <w:gridCol w:w="810"/>
        <w:gridCol w:w="783"/>
      </w:tblGrid>
      <w:tr w14:paraId="541C42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6" w:hRule="atLeast"/>
          <w:jc w:val="center"/>
        </w:trPr>
        <w:tc>
          <w:tcPr>
            <w:tcW w:w="15525" w:type="dxa"/>
            <w:gridSpan w:val="8"/>
            <w:tcBorders>
              <w:top w:val="single" w:color="000000" w:sz="4" w:space="0"/>
              <w:left w:val="single" w:color="000000" w:sz="4" w:space="0"/>
              <w:bottom w:val="single" w:color="000000" w:sz="4" w:space="0"/>
              <w:right w:val="single" w:color="000000" w:sz="4" w:space="0"/>
              <w:tl2br w:val="nil"/>
              <w:tr2bl w:val="nil"/>
            </w:tcBorders>
            <w:noWrap/>
            <w:vAlign w:val="center"/>
          </w:tcPr>
          <w:p w14:paraId="1927B831">
            <w:pPr>
              <w:widowControl/>
              <w:adjustRightInd w:val="0"/>
              <w:snapToGrid w:val="0"/>
              <w:spacing w:line="500" w:lineRule="atLeast"/>
              <w:jc w:val="both"/>
              <w:rPr>
                <w:rFonts w:hint="eastAsia" w:ascii="Times New Roman" w:hAnsi="Times New Roman" w:eastAsia="方正仿宋_GBK"/>
                <w:color w:val="auto"/>
                <w:sz w:val="28"/>
                <w:szCs w:val="28"/>
                <w:lang w:val="en-US" w:eastAsia="zh-CN"/>
              </w:rPr>
            </w:pPr>
            <w:r>
              <w:rPr>
                <w:rFonts w:hint="eastAsia" w:ascii="方正黑体_GBK" w:eastAsia="方正黑体_GBK" w:cs="方正黑体_GBK"/>
                <w:i w:val="0"/>
                <w:iCs w:val="0"/>
                <w:color w:val="auto"/>
                <w:kern w:val="0"/>
                <w:sz w:val="28"/>
                <w:szCs w:val="28"/>
                <w:u w:val="none"/>
                <w:lang w:val="en-US" w:eastAsia="zh-CN"/>
              </w:rPr>
              <w:t>二、企业等级评估评分细则</w:t>
            </w:r>
          </w:p>
        </w:tc>
      </w:tr>
      <w:tr w14:paraId="41F714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4" w:hRule="atLeast"/>
          <w:jc w:val="center"/>
        </w:trPr>
        <w:tc>
          <w:tcPr>
            <w:tcW w:w="1228"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4EECB199">
            <w:pPr>
              <w:keepNext w:val="0"/>
              <w:keepLines w:val="0"/>
              <w:pageBreakBefore w:val="0"/>
              <w:widowControl/>
              <w:suppressLineNumbers w:val="0"/>
              <w:kinsoku/>
              <w:wordWrap/>
              <w:overflowPunct/>
              <w:topLinePunct w:val="0"/>
              <w:autoSpaceDE/>
              <w:autoSpaceDN/>
              <w:bidi w:val="0"/>
              <w:adjustRightInd w:val="0"/>
              <w:snapToGrid w:val="0"/>
              <w:spacing w:line="320" w:lineRule="exact"/>
              <w:jc w:val="center"/>
              <w:textAlignment w:val="center"/>
              <w:rPr>
                <w:rFonts w:hint="eastAsia" w:ascii="方正黑体_GBK" w:eastAsia="方正黑体_GBK" w:cs="方正黑体_GBK"/>
                <w:i w:val="0"/>
                <w:iCs w:val="0"/>
                <w:color w:val="auto"/>
                <w:sz w:val="28"/>
                <w:szCs w:val="28"/>
                <w:u w:val="none"/>
              </w:rPr>
            </w:pPr>
            <w:r>
              <w:rPr>
                <w:rFonts w:hint="eastAsia" w:ascii="方正黑体_GBK" w:eastAsia="方正黑体_GBK" w:cs="方正黑体_GBK"/>
                <w:i w:val="0"/>
                <w:iCs w:val="0"/>
                <w:color w:val="auto"/>
                <w:kern w:val="0"/>
                <w:sz w:val="28"/>
                <w:szCs w:val="28"/>
                <w:u w:val="none"/>
                <w:lang w:val="en-US" w:eastAsia="zh-CN"/>
              </w:rPr>
              <w:t>章节</w:t>
            </w:r>
          </w:p>
        </w:tc>
        <w:tc>
          <w:tcPr>
            <w:tcW w:w="1409"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2FC2D93E">
            <w:pPr>
              <w:keepNext w:val="0"/>
              <w:keepLines w:val="0"/>
              <w:pageBreakBefore w:val="0"/>
              <w:widowControl/>
              <w:suppressLineNumbers w:val="0"/>
              <w:kinsoku/>
              <w:wordWrap/>
              <w:overflowPunct/>
              <w:topLinePunct w:val="0"/>
              <w:autoSpaceDE/>
              <w:autoSpaceDN/>
              <w:bidi w:val="0"/>
              <w:adjustRightInd w:val="0"/>
              <w:snapToGrid w:val="0"/>
              <w:spacing w:line="320" w:lineRule="exact"/>
              <w:jc w:val="center"/>
              <w:textAlignment w:val="center"/>
              <w:rPr>
                <w:rFonts w:hint="eastAsia" w:ascii="方正黑体_GBK" w:eastAsia="方正黑体_GBK" w:cs="方正黑体_GBK"/>
                <w:i w:val="0"/>
                <w:iCs w:val="0"/>
                <w:color w:val="auto"/>
                <w:sz w:val="28"/>
                <w:szCs w:val="28"/>
                <w:u w:val="none"/>
              </w:rPr>
            </w:pPr>
            <w:r>
              <w:rPr>
                <w:rFonts w:hint="eastAsia" w:ascii="方正黑体_GBK" w:eastAsia="方正黑体_GBK" w:cs="方正黑体_GBK"/>
                <w:i w:val="0"/>
                <w:iCs w:val="0"/>
                <w:color w:val="auto"/>
                <w:kern w:val="0"/>
                <w:sz w:val="28"/>
                <w:szCs w:val="28"/>
                <w:u w:val="none"/>
                <w:lang w:val="en-US" w:eastAsia="zh-CN"/>
              </w:rPr>
              <w:t>评判内容</w:t>
            </w:r>
          </w:p>
        </w:tc>
        <w:tc>
          <w:tcPr>
            <w:tcW w:w="4152"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7D674504">
            <w:pPr>
              <w:keepNext w:val="0"/>
              <w:keepLines w:val="0"/>
              <w:pageBreakBefore w:val="0"/>
              <w:widowControl/>
              <w:suppressLineNumbers w:val="0"/>
              <w:kinsoku/>
              <w:wordWrap/>
              <w:overflowPunct/>
              <w:topLinePunct w:val="0"/>
              <w:autoSpaceDE/>
              <w:autoSpaceDN/>
              <w:bidi w:val="0"/>
              <w:adjustRightInd w:val="0"/>
              <w:snapToGrid w:val="0"/>
              <w:spacing w:line="320" w:lineRule="exact"/>
              <w:jc w:val="center"/>
              <w:textAlignment w:val="center"/>
              <w:rPr>
                <w:rFonts w:hint="eastAsia" w:ascii="方正黑体_GBK" w:eastAsia="方正黑体_GBK" w:cs="方正黑体_GBK"/>
                <w:i w:val="0"/>
                <w:iCs w:val="0"/>
                <w:color w:val="auto"/>
                <w:sz w:val="28"/>
                <w:szCs w:val="28"/>
                <w:u w:val="none"/>
              </w:rPr>
            </w:pPr>
            <w:r>
              <w:rPr>
                <w:rFonts w:hint="eastAsia" w:ascii="方正黑体_GBK" w:eastAsia="方正黑体_GBK" w:cs="方正黑体_GBK"/>
                <w:i w:val="0"/>
                <w:iCs w:val="0"/>
                <w:color w:val="auto"/>
                <w:kern w:val="0"/>
                <w:sz w:val="28"/>
                <w:szCs w:val="28"/>
                <w:u w:val="none"/>
                <w:lang w:val="en-US" w:eastAsia="zh-CN"/>
              </w:rPr>
              <w:t>内容</w:t>
            </w:r>
          </w:p>
        </w:tc>
        <w:tc>
          <w:tcPr>
            <w:tcW w:w="86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02CF2517">
            <w:pPr>
              <w:keepNext w:val="0"/>
              <w:keepLines w:val="0"/>
              <w:pageBreakBefore w:val="0"/>
              <w:widowControl/>
              <w:suppressLineNumbers w:val="0"/>
              <w:kinsoku/>
              <w:wordWrap/>
              <w:overflowPunct/>
              <w:topLinePunct w:val="0"/>
              <w:autoSpaceDE/>
              <w:autoSpaceDN/>
              <w:bidi w:val="0"/>
              <w:adjustRightInd w:val="0"/>
              <w:snapToGrid w:val="0"/>
              <w:spacing w:line="320" w:lineRule="exact"/>
              <w:jc w:val="center"/>
              <w:textAlignment w:val="center"/>
              <w:rPr>
                <w:rFonts w:hint="eastAsia" w:ascii="方正黑体_GBK" w:eastAsia="方正黑体_GBK" w:cs="方正黑体_GBK"/>
                <w:i w:val="0"/>
                <w:iCs w:val="0"/>
                <w:color w:val="auto"/>
                <w:sz w:val="28"/>
                <w:szCs w:val="28"/>
                <w:u w:val="none"/>
              </w:rPr>
            </w:pPr>
            <w:r>
              <w:rPr>
                <w:rFonts w:hint="eastAsia" w:ascii="方正黑体_GBK" w:eastAsia="方正黑体_GBK" w:cs="方正黑体_GBK"/>
                <w:i w:val="0"/>
                <w:iCs w:val="0"/>
                <w:color w:val="auto"/>
                <w:kern w:val="0"/>
                <w:sz w:val="28"/>
                <w:szCs w:val="28"/>
                <w:u w:val="none"/>
                <w:lang w:val="en-US" w:eastAsia="zh-CN"/>
              </w:rPr>
              <w:t>条款</w:t>
            </w:r>
          </w:p>
        </w:tc>
        <w:tc>
          <w:tcPr>
            <w:tcW w:w="547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3ADE15D9">
            <w:pPr>
              <w:keepNext w:val="0"/>
              <w:keepLines w:val="0"/>
              <w:pageBreakBefore w:val="0"/>
              <w:widowControl/>
              <w:suppressLineNumbers w:val="0"/>
              <w:kinsoku/>
              <w:wordWrap/>
              <w:overflowPunct/>
              <w:topLinePunct w:val="0"/>
              <w:autoSpaceDE/>
              <w:autoSpaceDN/>
              <w:bidi w:val="0"/>
              <w:adjustRightInd w:val="0"/>
              <w:snapToGrid w:val="0"/>
              <w:spacing w:line="320" w:lineRule="exact"/>
              <w:jc w:val="center"/>
              <w:textAlignment w:val="center"/>
              <w:rPr>
                <w:rFonts w:hint="eastAsia" w:ascii="方正黑体_GBK" w:eastAsia="方正黑体_GBK" w:cs="方正黑体_GBK"/>
                <w:i w:val="0"/>
                <w:iCs w:val="0"/>
                <w:color w:val="auto"/>
                <w:kern w:val="0"/>
                <w:sz w:val="28"/>
                <w:szCs w:val="28"/>
                <w:u w:val="none"/>
                <w:lang w:val="en-US" w:eastAsia="zh-CN"/>
              </w:rPr>
            </w:pPr>
            <w:r>
              <w:rPr>
                <w:rFonts w:hint="eastAsia" w:ascii="方正黑体_GBK" w:eastAsia="方正黑体_GBK" w:cs="方正黑体_GBK"/>
                <w:i w:val="0"/>
                <w:iCs w:val="0"/>
                <w:color w:val="auto"/>
                <w:kern w:val="0"/>
                <w:sz w:val="28"/>
                <w:szCs w:val="28"/>
                <w:u w:val="none"/>
                <w:lang w:val="en-US" w:eastAsia="zh-CN"/>
              </w:rPr>
              <w:t>评分要点</w:t>
            </w:r>
          </w:p>
        </w:tc>
        <w:tc>
          <w:tcPr>
            <w:tcW w:w="8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6BCF4E72">
            <w:pPr>
              <w:keepNext w:val="0"/>
              <w:keepLines w:val="0"/>
              <w:pageBreakBefore w:val="0"/>
              <w:widowControl/>
              <w:suppressLineNumbers w:val="0"/>
              <w:kinsoku/>
              <w:wordWrap/>
              <w:overflowPunct/>
              <w:topLinePunct w:val="0"/>
              <w:autoSpaceDE/>
              <w:autoSpaceDN/>
              <w:bidi w:val="0"/>
              <w:adjustRightInd w:val="0"/>
              <w:snapToGrid w:val="0"/>
              <w:spacing w:line="320" w:lineRule="exact"/>
              <w:jc w:val="center"/>
              <w:textAlignment w:val="center"/>
              <w:rPr>
                <w:rFonts w:hint="eastAsia" w:ascii="方正黑体_GBK" w:eastAsia="方正黑体_GBK" w:cs="方正黑体_GBK"/>
                <w:i w:val="0"/>
                <w:iCs w:val="0"/>
                <w:color w:val="auto"/>
                <w:sz w:val="28"/>
                <w:szCs w:val="28"/>
                <w:u w:val="none"/>
              </w:rPr>
            </w:pPr>
            <w:r>
              <w:rPr>
                <w:rFonts w:hint="eastAsia" w:ascii="方正黑体_GBK" w:eastAsia="方正黑体_GBK" w:cs="方正黑体_GBK"/>
                <w:i w:val="0"/>
                <w:iCs w:val="0"/>
                <w:color w:val="auto"/>
                <w:kern w:val="0"/>
                <w:sz w:val="28"/>
                <w:szCs w:val="28"/>
                <w:u w:val="none"/>
                <w:lang w:val="en-US" w:eastAsia="zh-CN"/>
              </w:rPr>
              <w:t>分值</w:t>
            </w:r>
          </w:p>
        </w:tc>
        <w:tc>
          <w:tcPr>
            <w:tcW w:w="8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69215841">
            <w:pPr>
              <w:keepNext w:val="0"/>
              <w:keepLines w:val="0"/>
              <w:pageBreakBefore w:val="0"/>
              <w:widowControl/>
              <w:suppressLineNumbers w:val="0"/>
              <w:kinsoku/>
              <w:wordWrap/>
              <w:overflowPunct/>
              <w:topLinePunct w:val="0"/>
              <w:autoSpaceDE/>
              <w:autoSpaceDN/>
              <w:bidi w:val="0"/>
              <w:adjustRightInd w:val="0"/>
              <w:snapToGrid w:val="0"/>
              <w:spacing w:line="320" w:lineRule="exact"/>
              <w:jc w:val="center"/>
              <w:textAlignment w:val="center"/>
              <w:rPr>
                <w:rFonts w:hint="eastAsia" w:ascii="方正黑体_GBK" w:eastAsia="方正黑体_GBK" w:cs="方正黑体_GBK"/>
                <w:i w:val="0"/>
                <w:iCs w:val="0"/>
                <w:color w:val="auto"/>
                <w:sz w:val="28"/>
                <w:szCs w:val="28"/>
                <w:u w:val="none"/>
              </w:rPr>
            </w:pPr>
            <w:r>
              <w:rPr>
                <w:rFonts w:hint="eastAsia" w:ascii="方正黑体_GBK" w:eastAsia="方正黑体_GBK" w:cs="方正黑体_GBK"/>
                <w:i w:val="0"/>
                <w:iCs w:val="0"/>
                <w:color w:val="auto"/>
                <w:kern w:val="0"/>
                <w:sz w:val="28"/>
                <w:szCs w:val="28"/>
                <w:u w:val="none"/>
                <w:lang w:val="en-US" w:eastAsia="zh-CN"/>
              </w:rPr>
              <w:t>得分</w:t>
            </w:r>
          </w:p>
        </w:tc>
        <w:tc>
          <w:tcPr>
            <w:tcW w:w="78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73F272BD">
            <w:pPr>
              <w:keepNext w:val="0"/>
              <w:keepLines w:val="0"/>
              <w:pageBreakBefore w:val="0"/>
              <w:widowControl/>
              <w:suppressLineNumbers w:val="0"/>
              <w:kinsoku/>
              <w:wordWrap/>
              <w:overflowPunct/>
              <w:topLinePunct w:val="0"/>
              <w:autoSpaceDE/>
              <w:autoSpaceDN/>
              <w:bidi w:val="0"/>
              <w:adjustRightInd w:val="0"/>
              <w:snapToGrid w:val="0"/>
              <w:spacing w:line="320" w:lineRule="exact"/>
              <w:jc w:val="center"/>
              <w:textAlignment w:val="center"/>
              <w:rPr>
                <w:rFonts w:hint="eastAsia" w:ascii="方正黑体_GBK" w:eastAsia="方正黑体_GBK" w:cs="方正黑体_GBK"/>
                <w:i w:val="0"/>
                <w:iCs w:val="0"/>
                <w:color w:val="auto"/>
                <w:sz w:val="28"/>
                <w:szCs w:val="28"/>
                <w:u w:val="none"/>
              </w:rPr>
            </w:pPr>
            <w:r>
              <w:rPr>
                <w:rFonts w:hint="eastAsia" w:ascii="方正黑体_GBK" w:eastAsia="方正黑体_GBK" w:cs="方正黑体_GBK"/>
                <w:i w:val="0"/>
                <w:iCs w:val="0"/>
                <w:color w:val="auto"/>
                <w:kern w:val="0"/>
                <w:sz w:val="28"/>
                <w:szCs w:val="28"/>
                <w:u w:val="none"/>
                <w:lang w:val="en-US" w:eastAsia="zh-CN"/>
              </w:rPr>
              <w:t>备注</w:t>
            </w:r>
          </w:p>
        </w:tc>
      </w:tr>
      <w:tr w14:paraId="6CE17A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63" w:hRule="atLeast"/>
          <w:jc w:val="center"/>
        </w:trPr>
        <w:tc>
          <w:tcPr>
            <w:tcW w:w="1228"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64BE4546">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lang w:val="en-US" w:eastAsia="zh-CN"/>
              </w:rPr>
            </w:pPr>
            <w:r>
              <w:rPr>
                <w:rFonts w:hint="eastAsia" w:ascii="方正仿宋_GBK" w:eastAsia="方正仿宋_GBK" w:cs="方正仿宋_GBK"/>
                <w:i w:val="0"/>
                <w:iCs w:val="0"/>
                <w:color w:val="auto"/>
                <w:kern w:val="0"/>
                <w:sz w:val="21"/>
                <w:szCs w:val="21"/>
                <w:u w:val="none"/>
                <w:lang w:val="en-US" w:eastAsia="zh-CN"/>
              </w:rPr>
              <w:t>一、质量安全关键岗位要求</w:t>
            </w:r>
          </w:p>
        </w:tc>
        <w:tc>
          <w:tcPr>
            <w:tcW w:w="1409"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0970C7A6">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lang w:val="en-US" w:eastAsia="zh-CN"/>
              </w:rPr>
            </w:pPr>
            <w:r>
              <w:rPr>
                <w:rFonts w:hint="eastAsia" w:ascii="方正仿宋_GBK" w:eastAsia="方正仿宋_GBK" w:cs="方正仿宋_GBK"/>
                <w:i w:val="0"/>
                <w:iCs w:val="0"/>
                <w:color w:val="auto"/>
                <w:kern w:val="0"/>
                <w:sz w:val="21"/>
                <w:szCs w:val="21"/>
                <w:u w:val="none"/>
                <w:lang w:val="en-US" w:eastAsia="zh-CN"/>
              </w:rPr>
              <w:t>机构设立</w:t>
            </w:r>
          </w:p>
        </w:tc>
        <w:tc>
          <w:tcPr>
            <w:tcW w:w="4152"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47361941">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lang w:val="en-US" w:eastAsia="zh-CN"/>
              </w:rPr>
            </w:pPr>
            <w:r>
              <w:rPr>
                <w:rFonts w:hint="eastAsia" w:ascii="方正仿宋_GBK" w:eastAsia="方正仿宋_GBK" w:cs="方正仿宋_GBK"/>
                <w:i w:val="0"/>
                <w:iCs w:val="0"/>
                <w:color w:val="auto"/>
                <w:kern w:val="0"/>
                <w:sz w:val="21"/>
                <w:szCs w:val="21"/>
                <w:u w:val="none"/>
                <w:lang w:val="en-US" w:eastAsia="zh-CN"/>
              </w:rPr>
              <w:t>企业应当按照“权责一致、责任到人，因岗选人、人岗相适，尽职免责、奖惩有据”的原则，设置质量安全关键岗位，生产企业质量安全关键岗位人员一般包括企业法定代表人和主要负责人（以下简称"企业负责人"）、管理者代表、质量管理部门负责人、产品放行审核人员。其中企业负责人为最高管理者，管理者代表为高层管理人员，质量管理部门负责人一般为中层管理人员。</w:t>
            </w:r>
          </w:p>
        </w:tc>
        <w:tc>
          <w:tcPr>
            <w:tcW w:w="863"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348B7ADC">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Times New Roman" w:hAnsi="Times New Roman" w:eastAsia="宋体" w:cs="宋体"/>
                <w:i w:val="0"/>
                <w:iCs w:val="0"/>
                <w:color w:val="auto"/>
                <w:kern w:val="2"/>
                <w:sz w:val="21"/>
                <w:szCs w:val="21"/>
                <w:u w:val="none"/>
                <w:lang w:val="en-US" w:eastAsia="zh-CN" w:bidi="ar-SA"/>
              </w:rPr>
            </w:pPr>
            <w:r>
              <w:rPr>
                <w:rFonts w:hint="eastAsia" w:ascii="Times New Roman" w:hAnsi="Times New Roman" w:eastAsia="宋体" w:cs="宋体"/>
                <w:i w:val="0"/>
                <w:iCs w:val="0"/>
                <w:color w:val="auto"/>
                <w:kern w:val="0"/>
                <w:sz w:val="21"/>
                <w:szCs w:val="21"/>
                <w:u w:val="none"/>
                <w:lang w:val="en-US" w:eastAsia="zh-CN"/>
              </w:rPr>
              <w:t>1.1.1</w:t>
            </w:r>
          </w:p>
        </w:tc>
        <w:tc>
          <w:tcPr>
            <w:tcW w:w="5470" w:type="dxa"/>
            <w:tcBorders>
              <w:top w:val="single" w:color="000000" w:sz="4" w:space="0"/>
              <w:left w:val="single" w:color="000000" w:sz="4" w:space="0"/>
              <w:bottom w:val="single" w:color="000000" w:sz="4" w:space="0"/>
              <w:right w:val="single" w:color="000000" w:sz="4" w:space="0"/>
              <w:tl2br w:val="nil"/>
              <w:tr2bl w:val="nil"/>
            </w:tcBorders>
            <w:noWrap/>
          </w:tcPr>
          <w:p w14:paraId="7DB1C3C2">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lang w:val="en-US" w:eastAsia="zh-CN"/>
              </w:rPr>
            </w:pPr>
            <w:r>
              <w:rPr>
                <w:rFonts w:hint="eastAsia" w:ascii="方正仿宋_GBK" w:eastAsia="方正仿宋_GBK" w:cs="方正仿宋_GBK"/>
                <w:i w:val="0"/>
                <w:iCs w:val="0"/>
                <w:color w:val="auto"/>
                <w:kern w:val="0"/>
                <w:sz w:val="21"/>
                <w:szCs w:val="21"/>
                <w:u w:val="none"/>
                <w:lang w:val="en-US" w:eastAsia="zh-CN"/>
              </w:rPr>
              <w:t>建立与医疗器械生产相适应的组织机构，组织机构合理，各部门职责及管理职能明确，质量安全关键岗位人员配备充分、专职质量人员齐全的，得5分；</w:t>
            </w:r>
          </w:p>
        </w:tc>
        <w:tc>
          <w:tcPr>
            <w:tcW w:w="810"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6D910B1C">
            <w:pPr>
              <w:keepNext w:val="0"/>
              <w:keepLines w:val="0"/>
              <w:pageBreakBefore w:val="0"/>
              <w:widowControl/>
              <w:suppressLineNumbers w:val="0"/>
              <w:kinsoku/>
              <w:wordWrap/>
              <w:overflowPunct/>
              <w:topLinePunct w:val="0"/>
              <w:autoSpaceDE/>
              <w:autoSpaceDN/>
              <w:bidi w:val="0"/>
              <w:adjustRightInd w:val="0"/>
              <w:snapToGrid w:val="0"/>
              <w:spacing w:line="320" w:lineRule="exact"/>
              <w:jc w:val="center"/>
              <w:textAlignment w:val="center"/>
              <w:rPr>
                <w:rFonts w:hint="eastAsia" w:ascii="方正仿宋_GBK" w:eastAsia="方正仿宋_GBK" w:cs="方正仿宋_GBK"/>
                <w:i w:val="0"/>
                <w:iCs w:val="0"/>
                <w:color w:val="auto"/>
                <w:kern w:val="0"/>
                <w:sz w:val="21"/>
                <w:szCs w:val="21"/>
                <w:u w:val="none"/>
                <w:lang w:val="en-US" w:eastAsia="zh-CN"/>
              </w:rPr>
            </w:pPr>
            <w:r>
              <w:rPr>
                <w:rFonts w:hint="eastAsia" w:ascii="方正仿宋_GBK" w:eastAsia="方正仿宋_GBK" w:cs="方正仿宋_GBK"/>
                <w:i w:val="0"/>
                <w:iCs w:val="0"/>
                <w:color w:val="auto"/>
                <w:kern w:val="0"/>
                <w:sz w:val="21"/>
                <w:szCs w:val="21"/>
                <w:u w:val="none"/>
                <w:lang w:val="en-US" w:eastAsia="zh-CN"/>
              </w:rPr>
              <w:t>5</w:t>
            </w:r>
          </w:p>
        </w:tc>
        <w:tc>
          <w:tcPr>
            <w:tcW w:w="810"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6DF7CB47">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lang w:val="en-US" w:eastAsia="zh-CN"/>
              </w:rPr>
            </w:pPr>
          </w:p>
        </w:tc>
        <w:tc>
          <w:tcPr>
            <w:tcW w:w="783"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1242CB7F">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lang w:val="en-US" w:eastAsia="zh-CN"/>
              </w:rPr>
            </w:pPr>
          </w:p>
        </w:tc>
      </w:tr>
      <w:tr w14:paraId="196C03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63" w:hRule="atLeast"/>
          <w:jc w:val="center"/>
        </w:trPr>
        <w:tc>
          <w:tcPr>
            <w:tcW w:w="1228"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3F7C989B"/>
        </w:tc>
        <w:tc>
          <w:tcPr>
            <w:tcW w:w="1409"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77A018F4"/>
        </w:tc>
        <w:tc>
          <w:tcPr>
            <w:tcW w:w="4152"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7E19AD58"/>
        </w:tc>
        <w:tc>
          <w:tcPr>
            <w:tcW w:w="863"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3861AB7B"/>
        </w:tc>
        <w:tc>
          <w:tcPr>
            <w:tcW w:w="5470" w:type="dxa"/>
            <w:tcBorders>
              <w:top w:val="single" w:color="000000" w:sz="4" w:space="0"/>
              <w:left w:val="single" w:color="000000" w:sz="4" w:space="0"/>
              <w:bottom w:val="single" w:color="000000" w:sz="4" w:space="0"/>
              <w:right w:val="single" w:color="000000" w:sz="4" w:space="0"/>
              <w:tl2br w:val="nil"/>
              <w:tr2bl w:val="nil"/>
            </w:tcBorders>
            <w:noWrap/>
          </w:tcPr>
          <w:p w14:paraId="0301B629">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lang w:val="en-US" w:eastAsia="zh-CN"/>
              </w:rPr>
            </w:pPr>
            <w:r>
              <w:rPr>
                <w:rFonts w:hint="eastAsia" w:ascii="方正仿宋_GBK" w:eastAsia="方正仿宋_GBK" w:cs="方正仿宋_GBK"/>
                <w:i w:val="0"/>
                <w:iCs w:val="0"/>
                <w:color w:val="auto"/>
                <w:kern w:val="0"/>
                <w:sz w:val="21"/>
                <w:szCs w:val="21"/>
                <w:u w:val="none"/>
                <w:lang w:val="en-US" w:eastAsia="zh-CN"/>
              </w:rPr>
              <w:t>建立与医疗器械生产相适应的组织机构，部分部门职责及管理职能存在交叉现象，质量安全关键岗位人员配备齐全的，得3分；</w:t>
            </w:r>
          </w:p>
        </w:tc>
        <w:tc>
          <w:tcPr>
            <w:tcW w:w="810"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1181D23F"/>
        </w:tc>
        <w:tc>
          <w:tcPr>
            <w:tcW w:w="810"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0565A29D"/>
        </w:tc>
        <w:tc>
          <w:tcPr>
            <w:tcW w:w="783"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2F0EAD79"/>
        </w:tc>
      </w:tr>
      <w:tr w14:paraId="2D0B05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3" w:hRule="atLeast"/>
          <w:jc w:val="center"/>
        </w:trPr>
        <w:tc>
          <w:tcPr>
            <w:tcW w:w="1228"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61211D0D"/>
        </w:tc>
        <w:tc>
          <w:tcPr>
            <w:tcW w:w="1409"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7309CC71"/>
        </w:tc>
        <w:tc>
          <w:tcPr>
            <w:tcW w:w="4152"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327D973B"/>
        </w:tc>
        <w:tc>
          <w:tcPr>
            <w:tcW w:w="863"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51227182"/>
        </w:tc>
        <w:tc>
          <w:tcPr>
            <w:tcW w:w="5470" w:type="dxa"/>
            <w:tcBorders>
              <w:top w:val="single" w:color="000000" w:sz="4" w:space="0"/>
              <w:left w:val="single" w:color="000000" w:sz="4" w:space="0"/>
              <w:bottom w:val="single" w:color="000000" w:sz="4" w:space="0"/>
              <w:right w:val="single" w:color="000000" w:sz="4" w:space="0"/>
              <w:tl2br w:val="nil"/>
              <w:tr2bl w:val="nil"/>
            </w:tcBorders>
            <w:noWrap/>
          </w:tcPr>
          <w:p w14:paraId="45972D8F">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lang w:val="en-US" w:eastAsia="zh-CN"/>
              </w:rPr>
            </w:pPr>
            <w:r>
              <w:rPr>
                <w:rFonts w:hint="eastAsia" w:ascii="方正仿宋_GBK" w:eastAsia="方正仿宋_GBK" w:cs="方正仿宋_GBK"/>
                <w:i w:val="0"/>
                <w:iCs w:val="0"/>
                <w:color w:val="auto"/>
                <w:kern w:val="0"/>
                <w:sz w:val="21"/>
                <w:szCs w:val="21"/>
                <w:u w:val="none"/>
                <w:lang w:val="en-US" w:eastAsia="zh-CN"/>
              </w:rPr>
              <w:t>建立组织机构但组织架构设计不合理，或质量安全关键岗位人员配备不齐全的，不得分。</w:t>
            </w:r>
          </w:p>
        </w:tc>
        <w:tc>
          <w:tcPr>
            <w:tcW w:w="810"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32C8BCBE"/>
        </w:tc>
        <w:tc>
          <w:tcPr>
            <w:tcW w:w="810"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1B09E931"/>
        </w:tc>
        <w:tc>
          <w:tcPr>
            <w:tcW w:w="783"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3A3DC4E1"/>
        </w:tc>
      </w:tr>
      <w:tr w14:paraId="7F17BE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0" w:hRule="atLeast"/>
          <w:jc w:val="center"/>
        </w:trPr>
        <w:tc>
          <w:tcPr>
            <w:tcW w:w="1228"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141CD19A">
            <w:pPr>
              <w:keepNext w:val="0"/>
              <w:keepLines w:val="0"/>
              <w:pageBreakBefore w:val="0"/>
              <w:widowControl/>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p>
        </w:tc>
        <w:tc>
          <w:tcPr>
            <w:tcW w:w="1409"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4887BA21">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企业负责人</w:t>
            </w:r>
          </w:p>
        </w:tc>
        <w:tc>
          <w:tcPr>
            <w:tcW w:w="4152"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55D1B52F">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生产企业负责人应当对本企业医疗器械质量安全工作全面负责，建立并落实医疗器械质量安全主体责任长效机制。</w:t>
            </w:r>
            <w:r>
              <w:rPr>
                <w:rFonts w:hint="eastAsia" w:ascii="方正仿宋_GBK" w:eastAsia="方正仿宋_GBK" w:cs="方正仿宋_GBK"/>
                <w:i w:val="0"/>
                <w:iCs w:val="0"/>
                <w:color w:val="auto"/>
                <w:kern w:val="0"/>
                <w:sz w:val="21"/>
                <w:szCs w:val="21"/>
                <w:u w:val="none"/>
                <w:lang w:val="en-US" w:eastAsia="zh-CN"/>
              </w:rPr>
              <w:br w:type="textWrapping"/>
            </w:r>
            <w:r>
              <w:rPr>
                <w:rFonts w:hint="eastAsia" w:ascii="方正仿宋_GBK" w:eastAsia="方正仿宋_GBK" w:cs="方正仿宋_GBK"/>
                <w:i w:val="0"/>
                <w:iCs w:val="0"/>
                <w:color w:val="auto"/>
                <w:kern w:val="0"/>
                <w:sz w:val="21"/>
                <w:szCs w:val="21"/>
                <w:u w:val="none"/>
                <w:lang w:val="en-US" w:eastAsia="zh-CN"/>
              </w:rPr>
              <w:t>企业负责人应当支持和保障管理者代表、质量管理部门负责人等人员依法开展医疗器械质量安全管理工作；在作出涉及医疗器械质量安全的重大决策前，应当充分听取管理者代表、质量管理部门负责人等人员的意见和建议，对其发现的医疗器械质量安全隐患，应当组织研究并提出处置措施，及时消除风险隐患。</w:t>
            </w:r>
            <w:r>
              <w:rPr>
                <w:rFonts w:hint="eastAsia" w:ascii="方正仿宋_GBK" w:eastAsia="方正仿宋_GBK" w:cs="方正仿宋_GBK"/>
                <w:i w:val="0"/>
                <w:iCs w:val="0"/>
                <w:color w:val="auto"/>
                <w:kern w:val="0"/>
                <w:sz w:val="21"/>
                <w:szCs w:val="21"/>
                <w:u w:val="none"/>
                <w:lang w:val="en-US" w:eastAsia="zh-CN"/>
              </w:rPr>
              <w:br w:type="textWrapping"/>
            </w:r>
            <w:r>
              <w:rPr>
                <w:rFonts w:hint="eastAsia" w:ascii="方正仿宋_GBK" w:eastAsia="方正仿宋_GBK" w:cs="方正仿宋_GBK"/>
                <w:i w:val="0"/>
                <w:iCs w:val="0"/>
                <w:color w:val="auto"/>
                <w:kern w:val="0"/>
                <w:sz w:val="21"/>
                <w:szCs w:val="21"/>
                <w:u w:val="none"/>
                <w:lang w:val="en-US" w:eastAsia="zh-CN"/>
              </w:rPr>
              <w:t>企业负责人应当履行包括但不限于以下职责：</w:t>
            </w:r>
            <w:r>
              <w:rPr>
                <w:rFonts w:hint="eastAsia" w:ascii="方正仿宋_GBK" w:eastAsia="方正仿宋_GBK" w:cs="方正仿宋_GBK"/>
                <w:i w:val="0"/>
                <w:iCs w:val="0"/>
                <w:color w:val="auto"/>
                <w:kern w:val="0"/>
                <w:sz w:val="21"/>
                <w:szCs w:val="21"/>
                <w:u w:val="none"/>
                <w:lang w:val="en-US" w:eastAsia="zh-CN"/>
              </w:rPr>
              <w:br w:type="textWrapping"/>
            </w:r>
            <w:r>
              <w:rPr>
                <w:rFonts w:hint="eastAsia" w:ascii="方正仿宋_GBK" w:eastAsia="方正仿宋_GBK" w:cs="方正仿宋_GBK"/>
                <w:i w:val="0"/>
                <w:iCs w:val="0"/>
                <w:color w:val="auto"/>
                <w:kern w:val="0"/>
                <w:sz w:val="21"/>
                <w:szCs w:val="21"/>
                <w:u w:val="none"/>
                <w:lang w:val="en-US" w:eastAsia="zh-CN"/>
              </w:rPr>
              <w:t>（一）组织制定企业的质量方针和质量目标；</w:t>
            </w:r>
            <w:r>
              <w:rPr>
                <w:rFonts w:hint="eastAsia" w:ascii="方正仿宋_GBK" w:eastAsia="方正仿宋_GBK" w:cs="方正仿宋_GBK"/>
                <w:i w:val="0"/>
                <w:iCs w:val="0"/>
                <w:color w:val="auto"/>
                <w:kern w:val="0"/>
                <w:sz w:val="21"/>
                <w:szCs w:val="21"/>
                <w:u w:val="none"/>
                <w:lang w:val="en-US" w:eastAsia="zh-CN"/>
              </w:rPr>
              <w:br w:type="textWrapping"/>
            </w:r>
            <w:r>
              <w:rPr>
                <w:rFonts w:hint="eastAsia" w:ascii="方正仿宋_GBK" w:eastAsia="方正仿宋_GBK" w:cs="方正仿宋_GBK"/>
                <w:i w:val="0"/>
                <w:iCs w:val="0"/>
                <w:color w:val="auto"/>
                <w:kern w:val="0"/>
                <w:sz w:val="21"/>
                <w:szCs w:val="21"/>
                <w:u w:val="none"/>
                <w:lang w:val="en-US" w:eastAsia="zh-CN"/>
              </w:rPr>
              <w:t>（二）确保质量管理体系有效运行所需的人力资源、基础设施和工作环境等；</w:t>
            </w:r>
            <w:r>
              <w:rPr>
                <w:rFonts w:hint="eastAsia" w:ascii="方正仿宋_GBK" w:eastAsia="方正仿宋_GBK" w:cs="方正仿宋_GBK"/>
                <w:i w:val="0"/>
                <w:iCs w:val="0"/>
                <w:color w:val="auto"/>
                <w:kern w:val="0"/>
                <w:sz w:val="21"/>
                <w:szCs w:val="21"/>
                <w:u w:val="none"/>
                <w:lang w:val="en-US" w:eastAsia="zh-CN"/>
              </w:rPr>
              <w:br w:type="textWrapping"/>
            </w:r>
            <w:r>
              <w:rPr>
                <w:rFonts w:hint="eastAsia" w:ascii="方正仿宋_GBK" w:eastAsia="方正仿宋_GBK" w:cs="方正仿宋_GBK"/>
                <w:i w:val="0"/>
                <w:iCs w:val="0"/>
                <w:color w:val="auto"/>
                <w:kern w:val="0"/>
                <w:sz w:val="21"/>
                <w:szCs w:val="21"/>
                <w:u w:val="none"/>
                <w:lang w:val="en-US" w:eastAsia="zh-CN"/>
              </w:rPr>
              <w:t>（三）组织实施管理评审，定期对质量管理体系运行情况进行评估，并持续改进；</w:t>
            </w:r>
            <w:r>
              <w:rPr>
                <w:rFonts w:hint="eastAsia" w:ascii="方正仿宋_GBK" w:eastAsia="方正仿宋_GBK" w:cs="方正仿宋_GBK"/>
                <w:i w:val="0"/>
                <w:iCs w:val="0"/>
                <w:color w:val="auto"/>
                <w:kern w:val="0"/>
                <w:sz w:val="21"/>
                <w:szCs w:val="21"/>
                <w:u w:val="none"/>
                <w:lang w:val="en-US" w:eastAsia="zh-CN"/>
              </w:rPr>
              <w:br w:type="textWrapping"/>
            </w:r>
            <w:r>
              <w:rPr>
                <w:rFonts w:hint="eastAsia" w:ascii="方正仿宋_GBK" w:eastAsia="方正仿宋_GBK" w:cs="方正仿宋_GBK"/>
                <w:i w:val="0"/>
                <w:iCs w:val="0"/>
                <w:color w:val="auto"/>
                <w:kern w:val="0"/>
                <w:sz w:val="21"/>
                <w:szCs w:val="21"/>
                <w:u w:val="none"/>
                <w:lang w:val="en-US" w:eastAsia="zh-CN"/>
              </w:rPr>
              <w:t>（四）按照相关法律、法规、规章、生产质量管理规范的要求，以及强制性标准和产品技术要求组织生产。（二、四单列条款）</w:t>
            </w:r>
          </w:p>
        </w:tc>
        <w:tc>
          <w:tcPr>
            <w:tcW w:w="863"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7C261F27">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1.2.1</w:t>
            </w:r>
          </w:p>
        </w:tc>
        <w:tc>
          <w:tcPr>
            <w:tcW w:w="5470" w:type="dxa"/>
            <w:tcBorders>
              <w:top w:val="single" w:color="000000" w:sz="4" w:space="0"/>
              <w:left w:val="single" w:color="000000" w:sz="4" w:space="0"/>
              <w:bottom w:val="single" w:color="000000" w:sz="4" w:space="0"/>
              <w:right w:val="single" w:color="000000" w:sz="4" w:space="0"/>
              <w:tl2br w:val="nil"/>
              <w:tr2bl w:val="nil"/>
            </w:tcBorders>
            <w:noWrap/>
          </w:tcPr>
          <w:p w14:paraId="7A51DA68">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查阅相关会议记录、文件签发、记录审批等，企业建立落实医疗器械质量安全主体责任长效机制，对质量安全工作全面负责；在作出涉及医疗器械质量安全的重大决策前，充分听取关键岗位人员意见且处置措施及时有效的，得5分；</w:t>
            </w:r>
          </w:p>
        </w:tc>
        <w:tc>
          <w:tcPr>
            <w:tcW w:w="810"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7EF1DB66">
            <w:pPr>
              <w:keepNext w:val="0"/>
              <w:keepLines w:val="0"/>
              <w:pageBreakBefore w:val="0"/>
              <w:widowControl/>
              <w:suppressLineNumbers w:val="0"/>
              <w:kinsoku/>
              <w:wordWrap/>
              <w:overflowPunct/>
              <w:topLinePunct w:val="0"/>
              <w:autoSpaceDE/>
              <w:autoSpaceDN/>
              <w:bidi w:val="0"/>
              <w:adjustRightInd w:val="0"/>
              <w:snapToGrid w:val="0"/>
              <w:spacing w:line="320" w:lineRule="exact"/>
              <w:jc w:val="center"/>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5</w:t>
            </w:r>
          </w:p>
        </w:tc>
        <w:tc>
          <w:tcPr>
            <w:tcW w:w="810"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5BBEFD61">
            <w:pPr>
              <w:keepNext w:val="0"/>
              <w:keepLines w:val="0"/>
              <w:pageBreakBefore w:val="0"/>
              <w:widowControl/>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p>
        </w:tc>
        <w:tc>
          <w:tcPr>
            <w:tcW w:w="783"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384D1366">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p>
        </w:tc>
      </w:tr>
      <w:tr w14:paraId="64AA6D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0" w:hRule="atLeast"/>
          <w:jc w:val="center"/>
        </w:trPr>
        <w:tc>
          <w:tcPr>
            <w:tcW w:w="1228"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4989F2D4"/>
        </w:tc>
        <w:tc>
          <w:tcPr>
            <w:tcW w:w="1409"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08893D6D"/>
        </w:tc>
        <w:tc>
          <w:tcPr>
            <w:tcW w:w="4152"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4068D793"/>
        </w:tc>
        <w:tc>
          <w:tcPr>
            <w:tcW w:w="863"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6AB42F4A"/>
        </w:tc>
        <w:tc>
          <w:tcPr>
            <w:tcW w:w="5470" w:type="dxa"/>
            <w:tcBorders>
              <w:top w:val="single" w:color="000000" w:sz="4" w:space="0"/>
              <w:left w:val="single" w:color="000000" w:sz="4" w:space="0"/>
              <w:bottom w:val="single" w:color="000000" w:sz="4" w:space="0"/>
              <w:right w:val="single" w:color="000000" w:sz="4" w:space="0"/>
              <w:tl2br w:val="nil"/>
              <w:tr2bl w:val="nil"/>
            </w:tcBorders>
            <w:noWrap/>
          </w:tcPr>
          <w:p w14:paraId="070089FE">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企业建立落实医疗器械质量安全主体责任长效机制，对质量安全工作负责；在作出涉及医疗器械质量安全的重大决策前，听取关键岗位人员意见和建议，提出相应的处置措施可以消除风险隐患，但不够及时有效的，得3分；</w:t>
            </w:r>
          </w:p>
        </w:tc>
        <w:tc>
          <w:tcPr>
            <w:tcW w:w="810"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18D27B2B"/>
        </w:tc>
        <w:tc>
          <w:tcPr>
            <w:tcW w:w="810"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5341E3C0"/>
        </w:tc>
        <w:tc>
          <w:tcPr>
            <w:tcW w:w="783"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10997542"/>
        </w:tc>
      </w:tr>
      <w:tr w14:paraId="7FC9E5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0" w:hRule="atLeast"/>
          <w:jc w:val="center"/>
        </w:trPr>
        <w:tc>
          <w:tcPr>
            <w:tcW w:w="1228"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1CFB3B6D"/>
        </w:tc>
        <w:tc>
          <w:tcPr>
            <w:tcW w:w="1409"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2F41D333"/>
        </w:tc>
        <w:tc>
          <w:tcPr>
            <w:tcW w:w="4152"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2D79D18B"/>
        </w:tc>
        <w:tc>
          <w:tcPr>
            <w:tcW w:w="863"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57258481"/>
        </w:tc>
        <w:tc>
          <w:tcPr>
            <w:tcW w:w="5470" w:type="dxa"/>
            <w:tcBorders>
              <w:top w:val="single" w:color="000000" w:sz="4" w:space="0"/>
              <w:left w:val="single" w:color="000000" w:sz="4" w:space="0"/>
              <w:bottom w:val="single" w:color="000000" w:sz="4" w:space="0"/>
              <w:right w:val="single" w:color="000000" w:sz="4" w:space="0"/>
              <w:tl2br w:val="nil"/>
              <w:tr2bl w:val="nil"/>
            </w:tcBorders>
            <w:noWrap/>
          </w:tcPr>
          <w:p w14:paraId="7E0F6C11">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企业未建立落实医疗器械质量安全主体责任长效机制，对质量安全工作全面负责；或在作出涉及医疗器械质量安全的重大决策前，未充分听取关键岗位人员意见和建议，提出的处置措施不能及时消除风险隐患的，不得分。</w:t>
            </w:r>
          </w:p>
        </w:tc>
        <w:tc>
          <w:tcPr>
            <w:tcW w:w="810"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248B4517"/>
        </w:tc>
        <w:tc>
          <w:tcPr>
            <w:tcW w:w="810"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64AE3B52"/>
        </w:tc>
        <w:tc>
          <w:tcPr>
            <w:tcW w:w="783"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02FAE39B"/>
        </w:tc>
      </w:tr>
      <w:tr w14:paraId="167D2C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1228"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3A5E3DEA"/>
        </w:tc>
        <w:tc>
          <w:tcPr>
            <w:tcW w:w="1409"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79540993"/>
        </w:tc>
        <w:tc>
          <w:tcPr>
            <w:tcW w:w="4152"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4B14EEAE"/>
        </w:tc>
        <w:tc>
          <w:tcPr>
            <w:tcW w:w="863"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612945D2">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1.2.2</w:t>
            </w:r>
          </w:p>
        </w:tc>
        <w:tc>
          <w:tcPr>
            <w:tcW w:w="5470" w:type="dxa"/>
            <w:tcBorders>
              <w:top w:val="single" w:color="000000" w:sz="4" w:space="0"/>
              <w:left w:val="single" w:color="000000" w:sz="4" w:space="0"/>
              <w:bottom w:val="single" w:color="000000" w:sz="4" w:space="0"/>
              <w:right w:val="single" w:color="000000" w:sz="4" w:space="0"/>
              <w:tl2br w:val="nil"/>
              <w:tr2bl w:val="nil"/>
            </w:tcBorders>
            <w:noWrap/>
          </w:tcPr>
          <w:p w14:paraId="328B6F2D">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长期在岗，且未兼任其他岗位职务，得3分；</w:t>
            </w:r>
          </w:p>
        </w:tc>
        <w:tc>
          <w:tcPr>
            <w:tcW w:w="810"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1095D472">
            <w:pPr>
              <w:keepNext w:val="0"/>
              <w:keepLines w:val="0"/>
              <w:pageBreakBefore w:val="0"/>
              <w:widowControl/>
              <w:suppressLineNumbers w:val="0"/>
              <w:kinsoku/>
              <w:wordWrap/>
              <w:overflowPunct/>
              <w:topLinePunct w:val="0"/>
              <w:autoSpaceDE/>
              <w:autoSpaceDN/>
              <w:bidi w:val="0"/>
              <w:adjustRightInd w:val="0"/>
              <w:snapToGrid w:val="0"/>
              <w:spacing w:line="320" w:lineRule="exact"/>
              <w:jc w:val="center"/>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3</w:t>
            </w:r>
          </w:p>
        </w:tc>
        <w:tc>
          <w:tcPr>
            <w:tcW w:w="810"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052D9BDE">
            <w:pPr>
              <w:keepNext w:val="0"/>
              <w:keepLines w:val="0"/>
              <w:pageBreakBefore w:val="0"/>
              <w:widowControl/>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p>
        </w:tc>
        <w:tc>
          <w:tcPr>
            <w:tcW w:w="783"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29226FF2"/>
        </w:tc>
      </w:tr>
      <w:tr w14:paraId="69DBEE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1228"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5303F3F3"/>
        </w:tc>
        <w:tc>
          <w:tcPr>
            <w:tcW w:w="1409"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1C679EAC"/>
        </w:tc>
        <w:tc>
          <w:tcPr>
            <w:tcW w:w="4152"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49EAE1C6"/>
        </w:tc>
        <w:tc>
          <w:tcPr>
            <w:tcW w:w="863"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16B795CB"/>
        </w:tc>
        <w:tc>
          <w:tcPr>
            <w:tcW w:w="5470" w:type="dxa"/>
            <w:tcBorders>
              <w:top w:val="single" w:color="000000" w:sz="4" w:space="0"/>
              <w:left w:val="single" w:color="000000" w:sz="4" w:space="0"/>
              <w:bottom w:val="single" w:color="000000" w:sz="4" w:space="0"/>
              <w:right w:val="single" w:color="000000" w:sz="4" w:space="0"/>
              <w:tl2br w:val="nil"/>
              <w:tr2bl w:val="nil"/>
            </w:tcBorders>
            <w:noWrap/>
          </w:tcPr>
          <w:p w14:paraId="152CC5FC">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长期在岗，但在企业或集团内部兼任其他职务，得2分；</w:t>
            </w:r>
          </w:p>
        </w:tc>
        <w:tc>
          <w:tcPr>
            <w:tcW w:w="810"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15F79AD4"/>
        </w:tc>
        <w:tc>
          <w:tcPr>
            <w:tcW w:w="810"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4F0A25BE"/>
        </w:tc>
        <w:tc>
          <w:tcPr>
            <w:tcW w:w="783"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2CAA14A3"/>
        </w:tc>
      </w:tr>
      <w:tr w14:paraId="73D972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1228"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77C1E8E6"/>
        </w:tc>
        <w:tc>
          <w:tcPr>
            <w:tcW w:w="1409"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7C86CA62"/>
        </w:tc>
        <w:tc>
          <w:tcPr>
            <w:tcW w:w="4152"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0DE3BCEF"/>
        </w:tc>
        <w:tc>
          <w:tcPr>
            <w:tcW w:w="863"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67AE6CDB"/>
        </w:tc>
        <w:tc>
          <w:tcPr>
            <w:tcW w:w="5470" w:type="dxa"/>
            <w:tcBorders>
              <w:top w:val="single" w:color="000000" w:sz="4" w:space="0"/>
              <w:left w:val="single" w:color="000000" w:sz="4" w:space="0"/>
              <w:bottom w:val="single" w:color="000000" w:sz="4" w:space="0"/>
              <w:right w:val="single" w:color="000000" w:sz="4" w:space="0"/>
              <w:tl2br w:val="nil"/>
              <w:tr2bl w:val="nil"/>
            </w:tcBorders>
            <w:noWrap/>
          </w:tcPr>
          <w:p w14:paraId="36FA2CE3">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长期不在岗，或未能正常履职，不得分。</w:t>
            </w:r>
          </w:p>
        </w:tc>
        <w:tc>
          <w:tcPr>
            <w:tcW w:w="810"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6EA843AE"/>
        </w:tc>
        <w:tc>
          <w:tcPr>
            <w:tcW w:w="810"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453EEA67"/>
        </w:tc>
        <w:tc>
          <w:tcPr>
            <w:tcW w:w="783"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3999AEB6"/>
        </w:tc>
      </w:tr>
      <w:tr w14:paraId="7743C0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1228"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774992B2"/>
        </w:tc>
        <w:tc>
          <w:tcPr>
            <w:tcW w:w="1409"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33F98ACE"/>
        </w:tc>
        <w:tc>
          <w:tcPr>
            <w:tcW w:w="4152"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55C13509"/>
        </w:tc>
        <w:tc>
          <w:tcPr>
            <w:tcW w:w="863"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43796B76">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highlight w:val="none"/>
                <w:u w:val="none"/>
                <w:lang w:val="en-US" w:eastAsia="zh-CN"/>
              </w:rPr>
              <w:t>1.2.3</w:t>
            </w:r>
          </w:p>
        </w:tc>
        <w:tc>
          <w:tcPr>
            <w:tcW w:w="5470" w:type="dxa"/>
            <w:tcBorders>
              <w:top w:val="single" w:color="000000" w:sz="4" w:space="0"/>
              <w:left w:val="single" w:color="000000" w:sz="4" w:space="0"/>
              <w:bottom w:val="single" w:color="000000" w:sz="4" w:space="0"/>
              <w:right w:val="single" w:color="000000" w:sz="4" w:space="0"/>
              <w:tl2br w:val="nil"/>
              <w:tr2bl w:val="nil"/>
            </w:tcBorders>
            <w:noWrap/>
          </w:tcPr>
          <w:p w14:paraId="7B536556">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医疗器械相关法规考试，得分≥90分，得3分；</w:t>
            </w:r>
          </w:p>
        </w:tc>
        <w:tc>
          <w:tcPr>
            <w:tcW w:w="810"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3041F62A">
            <w:pPr>
              <w:keepNext w:val="0"/>
              <w:keepLines w:val="0"/>
              <w:pageBreakBefore w:val="0"/>
              <w:widowControl/>
              <w:suppressLineNumbers w:val="0"/>
              <w:kinsoku/>
              <w:wordWrap/>
              <w:overflowPunct/>
              <w:topLinePunct w:val="0"/>
              <w:autoSpaceDE/>
              <w:autoSpaceDN/>
              <w:bidi w:val="0"/>
              <w:adjustRightInd w:val="0"/>
              <w:snapToGrid w:val="0"/>
              <w:spacing w:line="320" w:lineRule="exact"/>
              <w:jc w:val="center"/>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3</w:t>
            </w:r>
          </w:p>
        </w:tc>
        <w:tc>
          <w:tcPr>
            <w:tcW w:w="810"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2274EF91">
            <w:pPr>
              <w:keepNext w:val="0"/>
              <w:keepLines w:val="0"/>
              <w:pageBreakBefore w:val="0"/>
              <w:widowControl/>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p>
        </w:tc>
        <w:tc>
          <w:tcPr>
            <w:tcW w:w="783"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427707DC"/>
        </w:tc>
      </w:tr>
      <w:tr w14:paraId="059ACF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1228"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2DC9FEC4"/>
        </w:tc>
        <w:tc>
          <w:tcPr>
            <w:tcW w:w="1409"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079D15C4"/>
        </w:tc>
        <w:tc>
          <w:tcPr>
            <w:tcW w:w="4152"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729011B3"/>
        </w:tc>
        <w:tc>
          <w:tcPr>
            <w:tcW w:w="863"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31D65A9B"/>
        </w:tc>
        <w:tc>
          <w:tcPr>
            <w:tcW w:w="5470" w:type="dxa"/>
            <w:tcBorders>
              <w:top w:val="single" w:color="000000" w:sz="4" w:space="0"/>
              <w:left w:val="single" w:color="000000" w:sz="4" w:space="0"/>
              <w:bottom w:val="single" w:color="000000" w:sz="4" w:space="0"/>
              <w:right w:val="single" w:color="000000" w:sz="4" w:space="0"/>
              <w:tl2br w:val="nil"/>
              <w:tr2bl w:val="nil"/>
            </w:tcBorders>
            <w:noWrap/>
          </w:tcPr>
          <w:p w14:paraId="3A777D9F">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医疗器械相关法规考试，90＞得分≥60分，得2分；</w:t>
            </w:r>
          </w:p>
        </w:tc>
        <w:tc>
          <w:tcPr>
            <w:tcW w:w="810"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34AEEB06"/>
        </w:tc>
        <w:tc>
          <w:tcPr>
            <w:tcW w:w="810"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4C195A82"/>
        </w:tc>
        <w:tc>
          <w:tcPr>
            <w:tcW w:w="783"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4529287A"/>
        </w:tc>
      </w:tr>
      <w:tr w14:paraId="2C3635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1228"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2D99FDD1"/>
        </w:tc>
        <w:tc>
          <w:tcPr>
            <w:tcW w:w="1409"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4E648660"/>
        </w:tc>
        <w:tc>
          <w:tcPr>
            <w:tcW w:w="4152"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612A7C9B"/>
        </w:tc>
        <w:tc>
          <w:tcPr>
            <w:tcW w:w="863"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55BFB208"/>
        </w:tc>
        <w:tc>
          <w:tcPr>
            <w:tcW w:w="5470" w:type="dxa"/>
            <w:tcBorders>
              <w:top w:val="single" w:color="000000" w:sz="4" w:space="0"/>
              <w:left w:val="single" w:color="000000" w:sz="4" w:space="0"/>
              <w:bottom w:val="single" w:color="000000" w:sz="4" w:space="0"/>
              <w:right w:val="single" w:color="000000" w:sz="4" w:space="0"/>
              <w:tl2br w:val="nil"/>
              <w:tr2bl w:val="nil"/>
            </w:tcBorders>
            <w:noWrap/>
          </w:tcPr>
          <w:p w14:paraId="679CBB63">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医疗器械相关法规考试，得分＜60分，不得分。</w:t>
            </w:r>
          </w:p>
        </w:tc>
        <w:tc>
          <w:tcPr>
            <w:tcW w:w="810"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01414C4D"/>
        </w:tc>
        <w:tc>
          <w:tcPr>
            <w:tcW w:w="810"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317B6D12"/>
        </w:tc>
        <w:tc>
          <w:tcPr>
            <w:tcW w:w="783"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4DDA9FCF"/>
        </w:tc>
      </w:tr>
      <w:tr w14:paraId="5E4865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0" w:hRule="atLeast"/>
          <w:jc w:val="center"/>
        </w:trPr>
        <w:tc>
          <w:tcPr>
            <w:tcW w:w="1228"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15AADDD6"/>
        </w:tc>
        <w:tc>
          <w:tcPr>
            <w:tcW w:w="1409"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7CACD33D"/>
        </w:tc>
        <w:tc>
          <w:tcPr>
            <w:tcW w:w="4152"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343F7585"/>
        </w:tc>
        <w:tc>
          <w:tcPr>
            <w:tcW w:w="863"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6D062081">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1.2.4</w:t>
            </w:r>
          </w:p>
        </w:tc>
        <w:tc>
          <w:tcPr>
            <w:tcW w:w="5470" w:type="dxa"/>
            <w:tcBorders>
              <w:top w:val="single" w:color="000000" w:sz="4" w:space="0"/>
              <w:left w:val="single" w:color="000000" w:sz="4" w:space="0"/>
              <w:bottom w:val="single" w:color="000000" w:sz="4" w:space="0"/>
              <w:right w:val="single" w:color="000000" w:sz="4" w:space="0"/>
              <w:tl2br w:val="nil"/>
              <w:tr2bl w:val="nil"/>
            </w:tcBorders>
            <w:noWrap/>
          </w:tcPr>
          <w:p w14:paraId="568B8322">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为质量管理体系有效运行提供充分的人力资源、基础设施和工作环境等保障；严格按照相关法律、法规、规章、生产质量管理规范的要求，以及强制性标准和产品技术要求组织生产的，得3分；</w:t>
            </w:r>
          </w:p>
        </w:tc>
        <w:tc>
          <w:tcPr>
            <w:tcW w:w="810"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4B1510A2">
            <w:pPr>
              <w:keepNext w:val="0"/>
              <w:keepLines w:val="0"/>
              <w:pageBreakBefore w:val="0"/>
              <w:widowControl/>
              <w:suppressLineNumbers w:val="0"/>
              <w:kinsoku/>
              <w:wordWrap/>
              <w:overflowPunct/>
              <w:topLinePunct w:val="0"/>
              <w:autoSpaceDE/>
              <w:autoSpaceDN/>
              <w:bidi w:val="0"/>
              <w:adjustRightInd w:val="0"/>
              <w:snapToGrid w:val="0"/>
              <w:spacing w:line="320" w:lineRule="exact"/>
              <w:jc w:val="center"/>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3</w:t>
            </w:r>
          </w:p>
        </w:tc>
        <w:tc>
          <w:tcPr>
            <w:tcW w:w="810"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6B88FC59">
            <w:pPr>
              <w:keepNext w:val="0"/>
              <w:keepLines w:val="0"/>
              <w:pageBreakBefore w:val="0"/>
              <w:widowControl/>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p>
        </w:tc>
        <w:tc>
          <w:tcPr>
            <w:tcW w:w="783"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7559EC9B"/>
        </w:tc>
      </w:tr>
      <w:tr w14:paraId="6D8AD0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0" w:hRule="atLeast"/>
          <w:jc w:val="center"/>
        </w:trPr>
        <w:tc>
          <w:tcPr>
            <w:tcW w:w="1228"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73C45E1A"/>
        </w:tc>
        <w:tc>
          <w:tcPr>
            <w:tcW w:w="1409"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44029609"/>
        </w:tc>
        <w:tc>
          <w:tcPr>
            <w:tcW w:w="4152"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1B4F1ABB"/>
        </w:tc>
        <w:tc>
          <w:tcPr>
            <w:tcW w:w="863"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6F872F52"/>
        </w:tc>
        <w:tc>
          <w:tcPr>
            <w:tcW w:w="5470" w:type="dxa"/>
            <w:tcBorders>
              <w:top w:val="single" w:color="000000" w:sz="4" w:space="0"/>
              <w:left w:val="single" w:color="000000" w:sz="4" w:space="0"/>
              <w:bottom w:val="single" w:color="000000" w:sz="4" w:space="0"/>
              <w:right w:val="single" w:color="000000" w:sz="4" w:space="0"/>
              <w:tl2br w:val="nil"/>
              <w:tr2bl w:val="nil"/>
            </w:tcBorders>
            <w:noWrap/>
          </w:tcPr>
          <w:p w14:paraId="51C4E1C3">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为质量管理体系有效运行提供基本的人力资源、基础设施和工作环境等保障；可以按照相关法律、法规、规章、生产质量管理规范的要求，以及强制性标准和产品技术要求组织生产的，得2分；</w:t>
            </w:r>
          </w:p>
        </w:tc>
        <w:tc>
          <w:tcPr>
            <w:tcW w:w="810"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2C4AFFDF"/>
        </w:tc>
        <w:tc>
          <w:tcPr>
            <w:tcW w:w="810"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59484B13"/>
        </w:tc>
        <w:tc>
          <w:tcPr>
            <w:tcW w:w="783"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148C50EC"/>
        </w:tc>
      </w:tr>
      <w:tr w14:paraId="5B9B4D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0" w:hRule="atLeast"/>
          <w:jc w:val="center"/>
        </w:trPr>
        <w:tc>
          <w:tcPr>
            <w:tcW w:w="1228"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41AEC3F9"/>
        </w:tc>
        <w:tc>
          <w:tcPr>
            <w:tcW w:w="1409"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6F043A44"/>
        </w:tc>
        <w:tc>
          <w:tcPr>
            <w:tcW w:w="4152"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510A3545"/>
        </w:tc>
        <w:tc>
          <w:tcPr>
            <w:tcW w:w="863"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4DC76B5A"/>
        </w:tc>
        <w:tc>
          <w:tcPr>
            <w:tcW w:w="5470" w:type="dxa"/>
            <w:tcBorders>
              <w:top w:val="single" w:color="000000" w:sz="4" w:space="0"/>
              <w:left w:val="single" w:color="000000" w:sz="4" w:space="0"/>
              <w:bottom w:val="single" w:color="000000" w:sz="4" w:space="0"/>
              <w:right w:val="single" w:color="000000" w:sz="4" w:space="0"/>
              <w:tl2br w:val="nil"/>
              <w:tr2bl w:val="nil"/>
            </w:tcBorders>
            <w:noWrap/>
          </w:tcPr>
          <w:p w14:paraId="0192C949">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不能为质量管理体系有效运行提供人力资源、基础设施和工作环境等保障；或不能按照相关法律、法规、规章、生产质量管理规范的要求，以及强制性标准和产品技术要求组织生产的，不得分。</w:t>
            </w:r>
          </w:p>
        </w:tc>
        <w:tc>
          <w:tcPr>
            <w:tcW w:w="810"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576D24BA"/>
        </w:tc>
        <w:tc>
          <w:tcPr>
            <w:tcW w:w="810"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60A3D835"/>
        </w:tc>
        <w:tc>
          <w:tcPr>
            <w:tcW w:w="783"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71989C50"/>
        </w:tc>
      </w:tr>
      <w:tr w14:paraId="7D73DF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0" w:hRule="atLeast"/>
          <w:jc w:val="center"/>
        </w:trPr>
        <w:tc>
          <w:tcPr>
            <w:tcW w:w="1228"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251468BF"/>
        </w:tc>
        <w:tc>
          <w:tcPr>
            <w:tcW w:w="1409"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306B95A1"/>
        </w:tc>
        <w:tc>
          <w:tcPr>
            <w:tcW w:w="4152"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1406D906"/>
        </w:tc>
        <w:tc>
          <w:tcPr>
            <w:tcW w:w="863"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2B03B487">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1.2.5</w:t>
            </w:r>
          </w:p>
        </w:tc>
        <w:tc>
          <w:tcPr>
            <w:tcW w:w="5470" w:type="dxa"/>
            <w:tcBorders>
              <w:top w:val="single" w:color="000000" w:sz="4" w:space="0"/>
              <w:left w:val="single" w:color="000000" w:sz="4" w:space="0"/>
              <w:bottom w:val="single" w:color="000000" w:sz="4" w:space="0"/>
              <w:right w:val="single" w:color="000000" w:sz="4" w:space="0"/>
              <w:tl2br w:val="nil"/>
              <w:tr2bl w:val="nil"/>
            </w:tcBorders>
            <w:noWrap/>
          </w:tcPr>
          <w:p w14:paraId="6DE2F7C6">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在规定时间内组织并高质量完成管理评审，管理评审文件内容完整，相关改进措施有效实施落实并留有相关记录的，得3分；</w:t>
            </w:r>
          </w:p>
        </w:tc>
        <w:tc>
          <w:tcPr>
            <w:tcW w:w="810"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73726DAA">
            <w:pPr>
              <w:keepNext w:val="0"/>
              <w:keepLines w:val="0"/>
              <w:pageBreakBefore w:val="0"/>
              <w:widowControl/>
              <w:suppressLineNumbers w:val="0"/>
              <w:kinsoku/>
              <w:wordWrap/>
              <w:overflowPunct/>
              <w:topLinePunct w:val="0"/>
              <w:autoSpaceDE/>
              <w:autoSpaceDN/>
              <w:bidi w:val="0"/>
              <w:adjustRightInd w:val="0"/>
              <w:snapToGrid w:val="0"/>
              <w:spacing w:line="320" w:lineRule="exact"/>
              <w:jc w:val="center"/>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3</w:t>
            </w:r>
          </w:p>
        </w:tc>
        <w:tc>
          <w:tcPr>
            <w:tcW w:w="810"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6FCFC17A">
            <w:pPr>
              <w:keepNext w:val="0"/>
              <w:keepLines w:val="0"/>
              <w:pageBreakBefore w:val="0"/>
              <w:widowControl/>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p>
        </w:tc>
        <w:tc>
          <w:tcPr>
            <w:tcW w:w="783"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7C8C3995"/>
        </w:tc>
      </w:tr>
      <w:tr w14:paraId="2921CB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0" w:hRule="atLeast"/>
          <w:jc w:val="center"/>
        </w:trPr>
        <w:tc>
          <w:tcPr>
            <w:tcW w:w="1228"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1C720807"/>
        </w:tc>
        <w:tc>
          <w:tcPr>
            <w:tcW w:w="1409"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3074E02F"/>
        </w:tc>
        <w:tc>
          <w:tcPr>
            <w:tcW w:w="4152"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38563EF4"/>
        </w:tc>
        <w:tc>
          <w:tcPr>
            <w:tcW w:w="863"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199C5003"/>
        </w:tc>
        <w:tc>
          <w:tcPr>
            <w:tcW w:w="5470" w:type="dxa"/>
            <w:tcBorders>
              <w:top w:val="single" w:color="000000" w:sz="4" w:space="0"/>
              <w:left w:val="single" w:color="000000" w:sz="4" w:space="0"/>
              <w:bottom w:val="single" w:color="000000" w:sz="4" w:space="0"/>
              <w:right w:val="single" w:color="000000" w:sz="4" w:space="0"/>
              <w:tl2br w:val="nil"/>
              <w:tr2bl w:val="nil"/>
            </w:tcBorders>
            <w:noWrap/>
          </w:tcPr>
          <w:p w14:paraId="326D2859">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在规定时间内组织完成管理评审，管理评审文件内容完整，有相应改进措施，但未严格按职责或要求进行整改落实的，得2分 ；</w:t>
            </w:r>
          </w:p>
        </w:tc>
        <w:tc>
          <w:tcPr>
            <w:tcW w:w="810"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16419B4A"/>
        </w:tc>
        <w:tc>
          <w:tcPr>
            <w:tcW w:w="810"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7AC54D49"/>
        </w:tc>
        <w:tc>
          <w:tcPr>
            <w:tcW w:w="783"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3E927596"/>
        </w:tc>
      </w:tr>
      <w:tr w14:paraId="7E680E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1228"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38985581"/>
        </w:tc>
        <w:tc>
          <w:tcPr>
            <w:tcW w:w="1409"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0C848E45"/>
        </w:tc>
        <w:tc>
          <w:tcPr>
            <w:tcW w:w="4152"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59E8B050"/>
        </w:tc>
        <w:tc>
          <w:tcPr>
            <w:tcW w:w="863"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4746DBA0"/>
        </w:tc>
        <w:tc>
          <w:tcPr>
            <w:tcW w:w="5470" w:type="dxa"/>
            <w:tcBorders>
              <w:top w:val="single" w:color="000000" w:sz="4" w:space="0"/>
              <w:left w:val="single" w:color="000000" w:sz="4" w:space="0"/>
              <w:bottom w:val="single" w:color="000000" w:sz="4" w:space="0"/>
              <w:right w:val="single" w:color="000000" w:sz="4" w:space="0"/>
              <w:tl2br w:val="nil"/>
              <w:tr2bl w:val="nil"/>
            </w:tcBorders>
            <w:noWrap/>
          </w:tcPr>
          <w:p w14:paraId="3393CF13">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未开展管理评审，或管理评审流于形式，或与企业实际不相符的，不得分。</w:t>
            </w:r>
          </w:p>
        </w:tc>
        <w:tc>
          <w:tcPr>
            <w:tcW w:w="810"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04215058"/>
        </w:tc>
        <w:tc>
          <w:tcPr>
            <w:tcW w:w="810"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26AF03B2"/>
        </w:tc>
        <w:tc>
          <w:tcPr>
            <w:tcW w:w="783"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610D6CDE"/>
        </w:tc>
      </w:tr>
      <w:tr w14:paraId="52F0D4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1228"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4771CE9B"/>
        </w:tc>
        <w:tc>
          <w:tcPr>
            <w:tcW w:w="1409"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5325648A"/>
        </w:tc>
        <w:tc>
          <w:tcPr>
            <w:tcW w:w="4152"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24D08759">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生产企业负责人应当每季度至少听取一次管理者代表工作情况汇报，对企业生产情况和质量安全管理情况进行回顾分析，对风险防控重点工作进行研究并作出调度安排，形成调度记录。</w:t>
            </w:r>
          </w:p>
        </w:tc>
        <w:tc>
          <w:tcPr>
            <w:tcW w:w="863"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673756C4">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1.2.6</w:t>
            </w:r>
          </w:p>
        </w:tc>
        <w:tc>
          <w:tcPr>
            <w:tcW w:w="5470" w:type="dxa"/>
            <w:tcBorders>
              <w:top w:val="single" w:color="000000" w:sz="4" w:space="0"/>
              <w:left w:val="single" w:color="000000" w:sz="4" w:space="0"/>
              <w:bottom w:val="single" w:color="000000" w:sz="4" w:space="0"/>
              <w:right w:val="single" w:color="000000" w:sz="4" w:space="0"/>
              <w:tl2br w:val="nil"/>
              <w:tr2bl w:val="nil"/>
            </w:tcBorders>
            <w:noWrap/>
          </w:tcPr>
          <w:p w14:paraId="4CDF6152">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每季度至少听取一次管理者代表报告，形成制度，且有相应的调度措施及记录的，得3分；</w:t>
            </w:r>
          </w:p>
        </w:tc>
        <w:tc>
          <w:tcPr>
            <w:tcW w:w="810"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0561D664">
            <w:pPr>
              <w:keepNext w:val="0"/>
              <w:keepLines w:val="0"/>
              <w:pageBreakBefore w:val="0"/>
              <w:widowControl/>
              <w:suppressLineNumbers w:val="0"/>
              <w:kinsoku/>
              <w:wordWrap/>
              <w:overflowPunct/>
              <w:topLinePunct w:val="0"/>
              <w:autoSpaceDE/>
              <w:autoSpaceDN/>
              <w:bidi w:val="0"/>
              <w:adjustRightInd w:val="0"/>
              <w:snapToGrid w:val="0"/>
              <w:spacing w:line="320" w:lineRule="exact"/>
              <w:jc w:val="center"/>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3</w:t>
            </w:r>
          </w:p>
        </w:tc>
        <w:tc>
          <w:tcPr>
            <w:tcW w:w="810"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27E70B34">
            <w:pPr>
              <w:keepNext w:val="0"/>
              <w:keepLines w:val="0"/>
              <w:pageBreakBefore w:val="0"/>
              <w:widowControl/>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p>
        </w:tc>
        <w:tc>
          <w:tcPr>
            <w:tcW w:w="783"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0452D39B">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p>
        </w:tc>
      </w:tr>
      <w:tr w14:paraId="7F76EA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1228"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5640C541"/>
        </w:tc>
        <w:tc>
          <w:tcPr>
            <w:tcW w:w="1409"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6D4563EC"/>
        </w:tc>
        <w:tc>
          <w:tcPr>
            <w:tcW w:w="4152"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11F89530"/>
        </w:tc>
        <w:tc>
          <w:tcPr>
            <w:tcW w:w="863"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28E68367"/>
        </w:tc>
        <w:tc>
          <w:tcPr>
            <w:tcW w:w="5470" w:type="dxa"/>
            <w:tcBorders>
              <w:top w:val="single" w:color="000000" w:sz="4" w:space="0"/>
              <w:left w:val="single" w:color="000000" w:sz="4" w:space="0"/>
              <w:bottom w:val="single" w:color="000000" w:sz="4" w:space="0"/>
              <w:right w:val="single" w:color="000000" w:sz="4" w:space="0"/>
              <w:tl2br w:val="nil"/>
              <w:tr2bl w:val="nil"/>
            </w:tcBorders>
            <w:noWrap/>
          </w:tcPr>
          <w:p w14:paraId="02A0A89A">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每季度至少听取一次管理者代表报告，形成制度，但未及时做出调度安排，或记录不完整的，得2分；</w:t>
            </w:r>
          </w:p>
        </w:tc>
        <w:tc>
          <w:tcPr>
            <w:tcW w:w="810"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30344270"/>
        </w:tc>
        <w:tc>
          <w:tcPr>
            <w:tcW w:w="810"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03A9871D"/>
        </w:tc>
        <w:tc>
          <w:tcPr>
            <w:tcW w:w="783"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65B1C5AE"/>
        </w:tc>
      </w:tr>
      <w:tr w14:paraId="30D838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1228"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2115ECD7"/>
        </w:tc>
        <w:tc>
          <w:tcPr>
            <w:tcW w:w="1409"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1BE43BF9"/>
        </w:tc>
        <w:tc>
          <w:tcPr>
            <w:tcW w:w="4152"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19F78075"/>
        </w:tc>
        <w:tc>
          <w:tcPr>
            <w:tcW w:w="863"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0FC341A3"/>
        </w:tc>
        <w:tc>
          <w:tcPr>
            <w:tcW w:w="5470" w:type="dxa"/>
            <w:tcBorders>
              <w:top w:val="single" w:color="000000" w:sz="4" w:space="0"/>
              <w:left w:val="single" w:color="000000" w:sz="4" w:space="0"/>
              <w:bottom w:val="single" w:color="000000" w:sz="4" w:space="0"/>
              <w:right w:val="single" w:color="000000" w:sz="4" w:space="0"/>
              <w:tl2br w:val="nil"/>
              <w:tr2bl w:val="nil"/>
            </w:tcBorders>
            <w:noWrap/>
          </w:tcPr>
          <w:p w14:paraId="02A9877D">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未每季度听取一次管理者代表报告，没有形成制度或无调度记录的，不得分。</w:t>
            </w:r>
          </w:p>
        </w:tc>
        <w:tc>
          <w:tcPr>
            <w:tcW w:w="810"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0105C115"/>
        </w:tc>
        <w:tc>
          <w:tcPr>
            <w:tcW w:w="810"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5E171981"/>
        </w:tc>
        <w:tc>
          <w:tcPr>
            <w:tcW w:w="783"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77DEF0A3"/>
        </w:tc>
      </w:tr>
      <w:tr w14:paraId="69CD59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1228"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338F54E1"/>
        </w:tc>
        <w:tc>
          <w:tcPr>
            <w:tcW w:w="1409"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7ABDE40F">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管理者代表</w:t>
            </w:r>
          </w:p>
        </w:tc>
        <w:tc>
          <w:tcPr>
            <w:tcW w:w="4152"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357DDD4E">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lang w:val="en-US" w:eastAsia="zh-CN"/>
              </w:rPr>
            </w:pPr>
            <w:r>
              <w:rPr>
                <w:rFonts w:hint="eastAsia" w:ascii="方正仿宋_GBK" w:eastAsia="方正仿宋_GBK" w:cs="方正仿宋_GBK"/>
                <w:i w:val="0"/>
                <w:iCs w:val="0"/>
                <w:color w:val="auto"/>
                <w:kern w:val="0"/>
                <w:sz w:val="21"/>
                <w:szCs w:val="21"/>
                <w:u w:val="none"/>
                <w:lang w:val="en-US" w:eastAsia="zh-CN"/>
              </w:rPr>
              <w:t>生产企业负责人应当在企业高层管理人员中确定一名管理者代表。管理者代表应当是所在企业全职员工，并至少符合以下条件：</w:t>
            </w:r>
            <w:r>
              <w:rPr>
                <w:rFonts w:hint="eastAsia" w:ascii="方正仿宋_GBK" w:eastAsia="方正仿宋_GBK" w:cs="方正仿宋_GBK"/>
                <w:i w:val="0"/>
                <w:iCs w:val="0"/>
                <w:color w:val="auto"/>
                <w:kern w:val="0"/>
                <w:sz w:val="21"/>
                <w:szCs w:val="21"/>
                <w:u w:val="none"/>
                <w:lang w:val="en-US" w:eastAsia="zh-CN"/>
              </w:rPr>
              <w:br w:type="textWrapping"/>
            </w:r>
            <w:r>
              <w:rPr>
                <w:rFonts w:hint="eastAsia" w:ascii="方正仿宋_GBK" w:eastAsia="方正仿宋_GBK" w:cs="方正仿宋_GBK"/>
                <w:i w:val="0"/>
                <w:iCs w:val="0"/>
                <w:color w:val="auto"/>
                <w:kern w:val="0"/>
                <w:sz w:val="21"/>
                <w:szCs w:val="21"/>
                <w:u w:val="none"/>
                <w:lang w:val="en-US" w:eastAsia="zh-CN"/>
              </w:rPr>
              <w:t>（一）遵纪守法，具有良好职业道德素质且无不良从业记录。</w:t>
            </w:r>
            <w:r>
              <w:rPr>
                <w:rFonts w:hint="eastAsia" w:ascii="方正仿宋_GBK" w:eastAsia="方正仿宋_GBK" w:cs="方正仿宋_GBK"/>
                <w:i w:val="0"/>
                <w:iCs w:val="0"/>
                <w:color w:val="auto"/>
                <w:kern w:val="0"/>
                <w:sz w:val="21"/>
                <w:szCs w:val="21"/>
                <w:u w:val="none"/>
                <w:lang w:val="en-US" w:eastAsia="zh-CN"/>
              </w:rPr>
              <w:br w:type="textWrapping"/>
            </w:r>
            <w:r>
              <w:rPr>
                <w:rFonts w:hint="eastAsia" w:ascii="方正仿宋_GBK" w:eastAsia="方正仿宋_GBK" w:cs="方正仿宋_GBK"/>
                <w:i w:val="0"/>
                <w:iCs w:val="0"/>
                <w:color w:val="auto"/>
                <w:kern w:val="0"/>
                <w:sz w:val="21"/>
                <w:szCs w:val="21"/>
                <w:u w:val="none"/>
                <w:lang w:val="en-US" w:eastAsia="zh-CN"/>
              </w:rPr>
              <w:t>（二）熟悉并能正确执行相关法律、法规、规章、规范和标准，接受过系统化的质量管理体系知识培训。</w:t>
            </w:r>
            <w:r>
              <w:rPr>
                <w:rFonts w:hint="eastAsia" w:ascii="方正仿宋_GBK" w:eastAsia="方正仿宋_GBK" w:cs="方正仿宋_GBK"/>
                <w:i w:val="0"/>
                <w:iCs w:val="0"/>
                <w:color w:val="auto"/>
                <w:kern w:val="0"/>
                <w:sz w:val="21"/>
                <w:szCs w:val="21"/>
                <w:u w:val="none"/>
                <w:lang w:val="en-US" w:eastAsia="zh-CN"/>
              </w:rPr>
              <w:br w:type="textWrapping"/>
            </w:r>
            <w:r>
              <w:rPr>
                <w:rFonts w:hint="eastAsia" w:ascii="方正仿宋_GBK" w:eastAsia="方正仿宋_GBK" w:cs="方正仿宋_GBK"/>
                <w:i w:val="0"/>
                <w:iCs w:val="0"/>
                <w:color w:val="auto"/>
                <w:kern w:val="0"/>
                <w:sz w:val="21"/>
                <w:szCs w:val="21"/>
                <w:u w:val="none"/>
                <w:lang w:val="en-US" w:eastAsia="zh-CN"/>
              </w:rPr>
              <w:t>（三）熟悉医疗器械生产质量管理工作，具备指导和监督本企业各部门按规定实施医疗器械生产质量管理规范的专业技能和解决实际问题的能力。</w:t>
            </w:r>
            <w:r>
              <w:rPr>
                <w:rFonts w:hint="eastAsia" w:ascii="方正仿宋_GBK" w:eastAsia="方正仿宋_GBK" w:cs="方正仿宋_GBK"/>
                <w:i w:val="0"/>
                <w:iCs w:val="0"/>
                <w:color w:val="auto"/>
                <w:kern w:val="0"/>
                <w:sz w:val="21"/>
                <w:szCs w:val="21"/>
                <w:u w:val="none"/>
                <w:lang w:val="en-US" w:eastAsia="zh-CN"/>
              </w:rPr>
              <w:br w:type="textWrapping"/>
            </w:r>
            <w:r>
              <w:rPr>
                <w:rFonts w:hint="eastAsia" w:ascii="方正仿宋_GBK" w:eastAsia="方正仿宋_GBK" w:cs="方正仿宋_GBK"/>
                <w:i w:val="0"/>
                <w:iCs w:val="0"/>
                <w:color w:val="auto"/>
                <w:kern w:val="0"/>
                <w:sz w:val="21"/>
                <w:szCs w:val="21"/>
                <w:u w:val="none"/>
                <w:lang w:val="en-US" w:eastAsia="zh-CN"/>
              </w:rPr>
              <w:t>（四）生产第二类、第三类医疗器械的，管理者代表原则上应当具有医疗器械相关专业大学本科及以上学历或者中级及以上技术职称，并具有3年及以上质量管理或生产、技术管理工作经验；</w:t>
            </w:r>
            <w:r>
              <w:rPr>
                <w:rFonts w:hint="eastAsia" w:ascii="方正仿宋_GBK" w:eastAsia="方正仿宋_GBK" w:cs="方正仿宋_GBK"/>
                <w:i w:val="0"/>
                <w:iCs w:val="0"/>
                <w:color w:val="auto"/>
                <w:kern w:val="0"/>
                <w:sz w:val="21"/>
                <w:szCs w:val="21"/>
                <w:u w:val="none"/>
                <w:lang w:val="en-US" w:eastAsia="zh-CN"/>
              </w:rPr>
              <w:br w:type="textWrapping"/>
            </w:r>
            <w:r>
              <w:rPr>
                <w:rFonts w:hint="eastAsia" w:ascii="方正仿宋_GBK" w:eastAsia="方正仿宋_GBK" w:cs="方正仿宋_GBK"/>
                <w:i w:val="0"/>
                <w:iCs w:val="0"/>
                <w:color w:val="auto"/>
                <w:kern w:val="0"/>
                <w:sz w:val="21"/>
                <w:szCs w:val="21"/>
                <w:u w:val="none"/>
                <w:lang w:val="en-US" w:eastAsia="zh-CN"/>
              </w:rPr>
              <w:t>生产第一类医疗器械的，管理者代表原则上应当具有大学专科及以上学历，并具有3年及以上医疗器械生产企业工作经历。</w:t>
            </w:r>
            <w:r>
              <w:rPr>
                <w:rFonts w:hint="eastAsia" w:ascii="方正仿宋_GBK" w:eastAsia="方正仿宋_GBK" w:cs="方正仿宋_GBK"/>
                <w:i w:val="0"/>
                <w:iCs w:val="0"/>
                <w:color w:val="auto"/>
                <w:kern w:val="0"/>
                <w:sz w:val="21"/>
                <w:szCs w:val="21"/>
                <w:u w:val="none"/>
                <w:lang w:val="en-US" w:eastAsia="zh-CN"/>
              </w:rPr>
              <w:br w:type="textWrapping"/>
            </w:r>
            <w:r>
              <w:rPr>
                <w:rFonts w:hint="eastAsia" w:ascii="方正仿宋_GBK" w:eastAsia="方正仿宋_GBK" w:cs="方正仿宋_GBK"/>
                <w:i w:val="0"/>
                <w:iCs w:val="0"/>
                <w:color w:val="auto"/>
                <w:kern w:val="0"/>
                <w:sz w:val="21"/>
                <w:szCs w:val="21"/>
                <w:u w:val="none"/>
                <w:lang w:val="en-US" w:eastAsia="zh-CN"/>
              </w:rPr>
              <w:br w:type="textWrapping"/>
            </w:r>
            <w:r>
              <w:rPr>
                <w:rFonts w:hint="eastAsia" w:ascii="方正仿宋_GBK" w:eastAsia="方正仿宋_GBK" w:cs="方正仿宋_GBK"/>
                <w:i w:val="0"/>
                <w:iCs w:val="0"/>
                <w:color w:val="auto"/>
                <w:kern w:val="0"/>
                <w:sz w:val="21"/>
                <w:szCs w:val="21"/>
                <w:u w:val="none"/>
                <w:lang w:val="en-US" w:eastAsia="zh-CN"/>
              </w:rPr>
              <w:t>具有5年及以上医疗器械质量管理或者生产、技术管理工作经验，熟悉本企业产品、生产和质量管理情况，经实践证明具有良好履职能力的管理者代表，可以适当放宽相关学历和职称要求。</w:t>
            </w:r>
          </w:p>
          <w:p w14:paraId="4C83F8F4">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管理者代表在任职后还应当持续加强知识更新，积极参加企业质量管理体系相关学习和培训活动，不断提高质量管理水平。</w:t>
            </w:r>
          </w:p>
        </w:tc>
        <w:tc>
          <w:tcPr>
            <w:tcW w:w="863"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1FE5126F">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1.3.1</w:t>
            </w:r>
          </w:p>
        </w:tc>
        <w:tc>
          <w:tcPr>
            <w:tcW w:w="5470" w:type="dxa"/>
            <w:tcBorders>
              <w:top w:val="single" w:color="000000" w:sz="4" w:space="0"/>
              <w:left w:val="single" w:color="000000" w:sz="4" w:space="0"/>
              <w:bottom w:val="single" w:color="000000" w:sz="4" w:space="0"/>
              <w:right w:val="single" w:color="000000" w:sz="4" w:space="0"/>
              <w:tl2br w:val="nil"/>
              <w:tr2bl w:val="nil"/>
            </w:tcBorders>
            <w:noWrap/>
          </w:tcPr>
          <w:p w14:paraId="5FC24BAE">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医疗器械相关法规考试，得分≥90分的，得3分；</w:t>
            </w:r>
          </w:p>
        </w:tc>
        <w:tc>
          <w:tcPr>
            <w:tcW w:w="810"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4A9D92E8">
            <w:pPr>
              <w:keepNext w:val="0"/>
              <w:keepLines w:val="0"/>
              <w:pageBreakBefore w:val="0"/>
              <w:widowControl/>
              <w:suppressLineNumbers w:val="0"/>
              <w:kinsoku/>
              <w:wordWrap/>
              <w:overflowPunct/>
              <w:topLinePunct w:val="0"/>
              <w:autoSpaceDE/>
              <w:autoSpaceDN/>
              <w:bidi w:val="0"/>
              <w:adjustRightInd w:val="0"/>
              <w:snapToGrid w:val="0"/>
              <w:spacing w:line="320" w:lineRule="exact"/>
              <w:jc w:val="center"/>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3</w:t>
            </w:r>
          </w:p>
        </w:tc>
        <w:tc>
          <w:tcPr>
            <w:tcW w:w="810"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275FBB8D">
            <w:pPr>
              <w:keepNext w:val="0"/>
              <w:keepLines w:val="0"/>
              <w:pageBreakBefore w:val="0"/>
              <w:widowControl/>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p>
        </w:tc>
        <w:tc>
          <w:tcPr>
            <w:tcW w:w="783"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278E5E3D">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p>
        </w:tc>
      </w:tr>
      <w:tr w14:paraId="252F5C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1228"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1D5DB914"/>
        </w:tc>
        <w:tc>
          <w:tcPr>
            <w:tcW w:w="1409"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7BF17586"/>
        </w:tc>
        <w:tc>
          <w:tcPr>
            <w:tcW w:w="4152"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7A083900"/>
        </w:tc>
        <w:tc>
          <w:tcPr>
            <w:tcW w:w="863"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33772274"/>
        </w:tc>
        <w:tc>
          <w:tcPr>
            <w:tcW w:w="5470" w:type="dxa"/>
            <w:tcBorders>
              <w:top w:val="single" w:color="000000" w:sz="4" w:space="0"/>
              <w:left w:val="single" w:color="000000" w:sz="4" w:space="0"/>
              <w:bottom w:val="single" w:color="000000" w:sz="4" w:space="0"/>
              <w:right w:val="single" w:color="000000" w:sz="4" w:space="0"/>
              <w:tl2br w:val="nil"/>
              <w:tr2bl w:val="nil"/>
            </w:tcBorders>
            <w:noWrap/>
          </w:tcPr>
          <w:p w14:paraId="39EA98EB">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医疗器械相关法规考试，90＞得分≥75分，得2分；</w:t>
            </w:r>
          </w:p>
        </w:tc>
        <w:tc>
          <w:tcPr>
            <w:tcW w:w="810"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443395E3"/>
        </w:tc>
        <w:tc>
          <w:tcPr>
            <w:tcW w:w="810"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16E42132"/>
        </w:tc>
        <w:tc>
          <w:tcPr>
            <w:tcW w:w="783"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68CF09A8"/>
        </w:tc>
      </w:tr>
      <w:tr w14:paraId="6139E0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1228"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7A3B7694"/>
        </w:tc>
        <w:tc>
          <w:tcPr>
            <w:tcW w:w="1409"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7BD91253"/>
        </w:tc>
        <w:tc>
          <w:tcPr>
            <w:tcW w:w="4152"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2AA828C0"/>
        </w:tc>
        <w:tc>
          <w:tcPr>
            <w:tcW w:w="863"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45729BE7"/>
        </w:tc>
        <w:tc>
          <w:tcPr>
            <w:tcW w:w="5470" w:type="dxa"/>
            <w:tcBorders>
              <w:top w:val="single" w:color="000000" w:sz="4" w:space="0"/>
              <w:left w:val="single" w:color="000000" w:sz="4" w:space="0"/>
              <w:bottom w:val="single" w:color="000000" w:sz="4" w:space="0"/>
              <w:right w:val="single" w:color="000000" w:sz="4" w:space="0"/>
              <w:tl2br w:val="nil"/>
              <w:tr2bl w:val="nil"/>
            </w:tcBorders>
            <w:noWrap/>
          </w:tcPr>
          <w:p w14:paraId="4C4E029B">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医疗器械相关法规考试，得分＜75分，不得分。</w:t>
            </w:r>
          </w:p>
        </w:tc>
        <w:tc>
          <w:tcPr>
            <w:tcW w:w="810"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0186ADEC"/>
        </w:tc>
        <w:tc>
          <w:tcPr>
            <w:tcW w:w="810"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5A3AE00E"/>
        </w:tc>
        <w:tc>
          <w:tcPr>
            <w:tcW w:w="783"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428FD5D0"/>
        </w:tc>
      </w:tr>
      <w:tr w14:paraId="4DA17E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0" w:hRule="atLeast"/>
          <w:jc w:val="center"/>
        </w:trPr>
        <w:tc>
          <w:tcPr>
            <w:tcW w:w="1228"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15A3D771"/>
        </w:tc>
        <w:tc>
          <w:tcPr>
            <w:tcW w:w="1409"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4BEDBD8F"/>
        </w:tc>
        <w:tc>
          <w:tcPr>
            <w:tcW w:w="4152"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0F479B65"/>
        </w:tc>
        <w:tc>
          <w:tcPr>
            <w:tcW w:w="863"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4E92A095">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1.3.2</w:t>
            </w:r>
          </w:p>
        </w:tc>
        <w:tc>
          <w:tcPr>
            <w:tcW w:w="5470" w:type="dxa"/>
            <w:tcBorders>
              <w:top w:val="single" w:color="000000" w:sz="4" w:space="0"/>
              <w:left w:val="single" w:color="000000" w:sz="4" w:space="0"/>
              <w:bottom w:val="single" w:color="000000" w:sz="4" w:space="0"/>
              <w:right w:val="single" w:color="000000" w:sz="4" w:space="0"/>
              <w:tl2br w:val="nil"/>
              <w:tr2bl w:val="nil"/>
            </w:tcBorders>
            <w:noWrap/>
          </w:tcPr>
          <w:p w14:paraId="0554D720">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学历、职务（企业高管）、职称、经历满足规定要求，熟悉本企业产品、生产和质量管理情况，经实践证明具有良好履职能力，得5分；</w:t>
            </w:r>
          </w:p>
        </w:tc>
        <w:tc>
          <w:tcPr>
            <w:tcW w:w="810"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5A242D3B">
            <w:pPr>
              <w:keepNext w:val="0"/>
              <w:keepLines w:val="0"/>
              <w:pageBreakBefore w:val="0"/>
              <w:widowControl/>
              <w:suppressLineNumbers w:val="0"/>
              <w:kinsoku/>
              <w:wordWrap/>
              <w:overflowPunct/>
              <w:topLinePunct w:val="0"/>
              <w:autoSpaceDE/>
              <w:autoSpaceDN/>
              <w:bidi w:val="0"/>
              <w:adjustRightInd w:val="0"/>
              <w:snapToGrid w:val="0"/>
              <w:spacing w:line="320" w:lineRule="exact"/>
              <w:jc w:val="center"/>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5</w:t>
            </w:r>
          </w:p>
        </w:tc>
        <w:tc>
          <w:tcPr>
            <w:tcW w:w="810"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6CC8C282">
            <w:pPr>
              <w:keepNext w:val="0"/>
              <w:keepLines w:val="0"/>
              <w:pageBreakBefore w:val="0"/>
              <w:widowControl/>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p>
        </w:tc>
        <w:tc>
          <w:tcPr>
            <w:tcW w:w="783"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6AD157CA"/>
        </w:tc>
      </w:tr>
      <w:tr w14:paraId="757AA2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0" w:hRule="atLeast"/>
          <w:jc w:val="center"/>
        </w:trPr>
        <w:tc>
          <w:tcPr>
            <w:tcW w:w="1228"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594867F9"/>
        </w:tc>
        <w:tc>
          <w:tcPr>
            <w:tcW w:w="1409"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391EA7FB"/>
        </w:tc>
        <w:tc>
          <w:tcPr>
            <w:tcW w:w="4152"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3C97D4E8"/>
        </w:tc>
        <w:tc>
          <w:tcPr>
            <w:tcW w:w="863"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1FFF254A"/>
        </w:tc>
        <w:tc>
          <w:tcPr>
            <w:tcW w:w="5470" w:type="dxa"/>
            <w:tcBorders>
              <w:top w:val="single" w:color="000000" w:sz="4" w:space="0"/>
              <w:left w:val="single" w:color="000000" w:sz="4" w:space="0"/>
              <w:bottom w:val="single" w:color="000000" w:sz="4" w:space="0"/>
              <w:right w:val="single" w:color="000000" w:sz="4" w:space="0"/>
              <w:tl2br w:val="nil"/>
              <w:tr2bl w:val="nil"/>
            </w:tcBorders>
            <w:noWrap/>
          </w:tcPr>
          <w:p w14:paraId="4BC9EAF4">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学历、职务（企业高管）、职称、经历满足规定要求，较熟悉本企业产品、生产和质量管理情况，经实践证明具有较好履职能力；或管理者代表不能有效履职，但企业立即确定和任命新的管理者代表上岗，得3分。</w:t>
            </w:r>
          </w:p>
        </w:tc>
        <w:tc>
          <w:tcPr>
            <w:tcW w:w="810"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6CB2C6CE"/>
        </w:tc>
        <w:tc>
          <w:tcPr>
            <w:tcW w:w="810"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5A408FCF"/>
        </w:tc>
        <w:tc>
          <w:tcPr>
            <w:tcW w:w="783"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4195E5FF"/>
        </w:tc>
      </w:tr>
      <w:tr w14:paraId="14D268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0" w:hRule="atLeast"/>
          <w:jc w:val="center"/>
        </w:trPr>
        <w:tc>
          <w:tcPr>
            <w:tcW w:w="1228"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61F0F6D6"/>
        </w:tc>
        <w:tc>
          <w:tcPr>
            <w:tcW w:w="1409"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634037C4"/>
        </w:tc>
        <w:tc>
          <w:tcPr>
            <w:tcW w:w="4152"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02D0A010"/>
        </w:tc>
        <w:tc>
          <w:tcPr>
            <w:tcW w:w="863"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1676A584"/>
        </w:tc>
        <w:tc>
          <w:tcPr>
            <w:tcW w:w="5470" w:type="dxa"/>
            <w:tcBorders>
              <w:top w:val="single" w:color="000000" w:sz="4" w:space="0"/>
              <w:left w:val="single" w:color="000000" w:sz="4" w:space="0"/>
              <w:bottom w:val="single" w:color="000000" w:sz="4" w:space="0"/>
              <w:right w:val="single" w:color="000000" w:sz="4" w:space="0"/>
              <w:tl2br w:val="nil"/>
              <w:tr2bl w:val="nil"/>
            </w:tcBorders>
            <w:noWrap/>
          </w:tcPr>
          <w:p w14:paraId="66DC1046">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学历、职务（企业高管）、职称、经历满足规定要求，基本熟悉本企业产品、生产和质量管理情况，经实践证明具有较好履职能力；或管理者代表不能有效履职，企业指定符合规定要求的人员临时代其履行职责，并于30个工作日内确定和任命新的管理者代表，得2分。</w:t>
            </w:r>
          </w:p>
        </w:tc>
        <w:tc>
          <w:tcPr>
            <w:tcW w:w="810"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7ADC4A30"/>
        </w:tc>
        <w:tc>
          <w:tcPr>
            <w:tcW w:w="810"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663EE058"/>
        </w:tc>
        <w:tc>
          <w:tcPr>
            <w:tcW w:w="783"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4A5D9C5A"/>
        </w:tc>
      </w:tr>
      <w:tr w14:paraId="59E47F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0" w:hRule="atLeast"/>
          <w:jc w:val="center"/>
        </w:trPr>
        <w:tc>
          <w:tcPr>
            <w:tcW w:w="1228"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033D124A"/>
        </w:tc>
        <w:tc>
          <w:tcPr>
            <w:tcW w:w="1409"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359E3C42"/>
        </w:tc>
        <w:tc>
          <w:tcPr>
            <w:tcW w:w="4152"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1089B8FF"/>
        </w:tc>
        <w:tc>
          <w:tcPr>
            <w:tcW w:w="863"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2883E4A9"/>
        </w:tc>
        <w:tc>
          <w:tcPr>
            <w:tcW w:w="5470" w:type="dxa"/>
            <w:tcBorders>
              <w:top w:val="single" w:color="000000" w:sz="4" w:space="0"/>
              <w:left w:val="single" w:color="000000" w:sz="4" w:space="0"/>
              <w:bottom w:val="single" w:color="000000" w:sz="4" w:space="0"/>
              <w:right w:val="single" w:color="000000" w:sz="4" w:space="0"/>
              <w:tl2br w:val="nil"/>
              <w:tr2bl w:val="nil"/>
            </w:tcBorders>
            <w:noWrap/>
          </w:tcPr>
          <w:p w14:paraId="5172087B">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学历、职务（企业高管）、职称、经历等不完全满足任职要求，或不能正常履职且无人代职，或30个工作日内未确定和任命新的管理者代表，不得分。</w:t>
            </w:r>
          </w:p>
        </w:tc>
        <w:tc>
          <w:tcPr>
            <w:tcW w:w="810"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33F36BFA"/>
        </w:tc>
        <w:tc>
          <w:tcPr>
            <w:tcW w:w="810"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0AE000D6"/>
        </w:tc>
        <w:tc>
          <w:tcPr>
            <w:tcW w:w="783"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3B80F716"/>
        </w:tc>
      </w:tr>
      <w:tr w14:paraId="57D62A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82" w:hRule="atLeast"/>
          <w:jc w:val="center"/>
        </w:trPr>
        <w:tc>
          <w:tcPr>
            <w:tcW w:w="1228"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54E98583"/>
        </w:tc>
        <w:tc>
          <w:tcPr>
            <w:tcW w:w="1409"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20675B99"/>
        </w:tc>
        <w:tc>
          <w:tcPr>
            <w:tcW w:w="4152"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385E040B"/>
        </w:tc>
        <w:tc>
          <w:tcPr>
            <w:tcW w:w="863"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7EC46174">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1.3.3</w:t>
            </w:r>
          </w:p>
        </w:tc>
        <w:tc>
          <w:tcPr>
            <w:tcW w:w="5470" w:type="dxa"/>
            <w:tcBorders>
              <w:top w:val="single" w:color="000000" w:sz="4" w:space="0"/>
              <w:left w:val="single" w:color="000000" w:sz="4" w:space="0"/>
              <w:bottom w:val="single" w:color="000000" w:sz="4" w:space="0"/>
              <w:right w:val="single" w:color="000000" w:sz="4" w:space="0"/>
              <w:tl2br w:val="nil"/>
              <w:tr2bl w:val="nil"/>
            </w:tcBorders>
            <w:noWrap/>
          </w:tcPr>
          <w:p w14:paraId="4CED6B13">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管理者代表持续参加企业质量管理体系相关培训，每年不少于20个课时，有相关的培训记录且记录真实完整的，得2分 ；</w:t>
            </w:r>
          </w:p>
        </w:tc>
        <w:tc>
          <w:tcPr>
            <w:tcW w:w="810"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4E0639EB">
            <w:pPr>
              <w:keepNext w:val="0"/>
              <w:keepLines w:val="0"/>
              <w:pageBreakBefore w:val="0"/>
              <w:widowControl/>
              <w:suppressLineNumbers w:val="0"/>
              <w:kinsoku/>
              <w:wordWrap/>
              <w:overflowPunct/>
              <w:topLinePunct w:val="0"/>
              <w:autoSpaceDE/>
              <w:autoSpaceDN/>
              <w:bidi w:val="0"/>
              <w:adjustRightInd w:val="0"/>
              <w:snapToGrid w:val="0"/>
              <w:spacing w:line="320" w:lineRule="exact"/>
              <w:jc w:val="center"/>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2</w:t>
            </w:r>
          </w:p>
        </w:tc>
        <w:tc>
          <w:tcPr>
            <w:tcW w:w="810"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63CCFFD5">
            <w:pPr>
              <w:keepNext w:val="0"/>
              <w:keepLines w:val="0"/>
              <w:pageBreakBefore w:val="0"/>
              <w:widowControl/>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p>
        </w:tc>
        <w:tc>
          <w:tcPr>
            <w:tcW w:w="783"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58E67287"/>
        </w:tc>
      </w:tr>
      <w:tr w14:paraId="1EB129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1228"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6DEF321C"/>
        </w:tc>
        <w:tc>
          <w:tcPr>
            <w:tcW w:w="1409"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126C2C22"/>
        </w:tc>
        <w:tc>
          <w:tcPr>
            <w:tcW w:w="4152"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242D16CB"/>
        </w:tc>
        <w:tc>
          <w:tcPr>
            <w:tcW w:w="863"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345E2EF2"/>
        </w:tc>
        <w:tc>
          <w:tcPr>
            <w:tcW w:w="5470" w:type="dxa"/>
            <w:tcBorders>
              <w:top w:val="single" w:color="000000" w:sz="4" w:space="0"/>
              <w:left w:val="single" w:color="000000" w:sz="4" w:space="0"/>
              <w:bottom w:val="single" w:color="000000" w:sz="4" w:space="0"/>
              <w:right w:val="single" w:color="000000" w:sz="4" w:space="0"/>
              <w:tl2br w:val="nil"/>
              <w:tr2bl w:val="nil"/>
            </w:tcBorders>
            <w:noWrap/>
          </w:tcPr>
          <w:p w14:paraId="45694056">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管理者代表持续参加质量管理体系相关培训，但相关的培训记录不完整的，得1分；</w:t>
            </w:r>
          </w:p>
        </w:tc>
        <w:tc>
          <w:tcPr>
            <w:tcW w:w="810"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35FF63E8"/>
        </w:tc>
        <w:tc>
          <w:tcPr>
            <w:tcW w:w="810"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3754F5FE"/>
        </w:tc>
        <w:tc>
          <w:tcPr>
            <w:tcW w:w="783"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3146FE26"/>
        </w:tc>
      </w:tr>
      <w:tr w14:paraId="17CAAD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1228"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78ECB679"/>
        </w:tc>
        <w:tc>
          <w:tcPr>
            <w:tcW w:w="1409"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6401B5D1"/>
        </w:tc>
        <w:tc>
          <w:tcPr>
            <w:tcW w:w="4152"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29D22CCF"/>
        </w:tc>
        <w:tc>
          <w:tcPr>
            <w:tcW w:w="863"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4EA5D95E"/>
        </w:tc>
        <w:tc>
          <w:tcPr>
            <w:tcW w:w="5470" w:type="dxa"/>
            <w:tcBorders>
              <w:top w:val="single" w:color="000000" w:sz="4" w:space="0"/>
              <w:left w:val="single" w:color="000000" w:sz="4" w:space="0"/>
              <w:bottom w:val="single" w:color="000000" w:sz="4" w:space="0"/>
              <w:right w:val="single" w:color="000000" w:sz="4" w:space="0"/>
              <w:tl2br w:val="nil"/>
              <w:tr2bl w:val="nil"/>
            </w:tcBorders>
            <w:noWrap/>
          </w:tcPr>
          <w:p w14:paraId="77DF27A4">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管理者代表年内未参加质量管理体系相关培训或无相关培训记录的，不得分。</w:t>
            </w:r>
          </w:p>
        </w:tc>
        <w:tc>
          <w:tcPr>
            <w:tcW w:w="810"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713277CE"/>
        </w:tc>
        <w:tc>
          <w:tcPr>
            <w:tcW w:w="810"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24A77580"/>
        </w:tc>
        <w:tc>
          <w:tcPr>
            <w:tcW w:w="783"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3E3B6EA8"/>
        </w:tc>
      </w:tr>
      <w:tr w14:paraId="5C6246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50" w:hRule="atLeast"/>
          <w:jc w:val="center"/>
        </w:trPr>
        <w:tc>
          <w:tcPr>
            <w:tcW w:w="1228"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2018EC10"/>
        </w:tc>
        <w:tc>
          <w:tcPr>
            <w:tcW w:w="1409"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5213AEF9"/>
        </w:tc>
        <w:tc>
          <w:tcPr>
            <w:tcW w:w="4152"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1E7C1FEC">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管理者代表应当由企业负责人任命、授权，在企业内部独立履行职责，发现产品存在质量安全风险时，应当提出相关产品上市的否决意见或者停止生产活动的建议。</w:t>
            </w:r>
            <w:r>
              <w:rPr>
                <w:rFonts w:hint="eastAsia" w:ascii="方正仿宋_GBK" w:eastAsia="方正仿宋_GBK" w:cs="方正仿宋_GBK"/>
                <w:i w:val="0"/>
                <w:iCs w:val="0"/>
                <w:color w:val="auto"/>
                <w:kern w:val="0"/>
                <w:sz w:val="21"/>
                <w:szCs w:val="21"/>
                <w:u w:val="none"/>
                <w:lang w:val="en-US" w:eastAsia="zh-CN"/>
              </w:rPr>
              <w:br w:type="textWrapping"/>
            </w:r>
            <w:r>
              <w:rPr>
                <w:rFonts w:hint="eastAsia" w:ascii="方正仿宋_GBK" w:eastAsia="方正仿宋_GBK" w:cs="方正仿宋_GBK"/>
                <w:i w:val="0"/>
                <w:iCs w:val="0"/>
                <w:color w:val="auto"/>
                <w:kern w:val="0"/>
                <w:sz w:val="21"/>
                <w:szCs w:val="21"/>
                <w:u w:val="none"/>
                <w:lang w:val="en-US" w:eastAsia="zh-CN"/>
              </w:rPr>
              <w:t>管理者代表应当履行包括但不限于以下职责:</w:t>
            </w:r>
            <w:r>
              <w:rPr>
                <w:rFonts w:hint="eastAsia" w:ascii="方正仿宋_GBK" w:eastAsia="方正仿宋_GBK" w:cs="方正仿宋_GBK"/>
                <w:i w:val="0"/>
                <w:iCs w:val="0"/>
                <w:color w:val="auto"/>
                <w:kern w:val="0"/>
                <w:sz w:val="21"/>
                <w:szCs w:val="21"/>
                <w:u w:val="none"/>
                <w:lang w:val="en-US" w:eastAsia="zh-CN"/>
              </w:rPr>
              <w:br w:type="textWrapping"/>
            </w:r>
            <w:r>
              <w:rPr>
                <w:rFonts w:hint="eastAsia" w:ascii="方正仿宋_GBK" w:eastAsia="方正仿宋_GBK" w:cs="方正仿宋_GBK"/>
                <w:i w:val="0"/>
                <w:iCs w:val="0"/>
                <w:color w:val="auto"/>
                <w:kern w:val="0"/>
                <w:sz w:val="21"/>
                <w:szCs w:val="21"/>
                <w:u w:val="none"/>
                <w:lang w:val="en-US" w:eastAsia="zh-CN"/>
              </w:rPr>
              <w:t>（一）贯彻执行相关法律、法规、规章、规范、强制性标准和产品技术要求。</w:t>
            </w:r>
            <w:r>
              <w:rPr>
                <w:rFonts w:hint="eastAsia" w:ascii="方正仿宋_GBK" w:eastAsia="方正仿宋_GBK" w:cs="方正仿宋_GBK"/>
                <w:i w:val="0"/>
                <w:iCs w:val="0"/>
                <w:color w:val="auto"/>
                <w:kern w:val="0"/>
                <w:sz w:val="21"/>
                <w:szCs w:val="21"/>
                <w:u w:val="none"/>
                <w:lang w:val="en-US" w:eastAsia="zh-CN"/>
              </w:rPr>
              <w:br w:type="textWrapping"/>
            </w:r>
            <w:r>
              <w:rPr>
                <w:rFonts w:hint="eastAsia" w:ascii="方正仿宋_GBK" w:eastAsia="方正仿宋_GBK" w:cs="方正仿宋_GBK"/>
                <w:i w:val="0"/>
                <w:iCs w:val="0"/>
                <w:color w:val="auto"/>
                <w:kern w:val="0"/>
                <w:sz w:val="21"/>
                <w:szCs w:val="21"/>
                <w:u w:val="none"/>
                <w:lang w:val="en-US" w:eastAsia="zh-CN"/>
              </w:rPr>
              <w:t>（二）组织建立、实施并保持企业质量管理体系，向企业负责人报告质量管理体系的运行情况和改进需求。</w:t>
            </w:r>
            <w:r>
              <w:rPr>
                <w:rFonts w:hint="eastAsia" w:ascii="方正仿宋_GBK" w:eastAsia="方正仿宋_GBK" w:cs="方正仿宋_GBK"/>
                <w:i w:val="0"/>
                <w:iCs w:val="0"/>
                <w:color w:val="auto"/>
                <w:kern w:val="0"/>
                <w:sz w:val="21"/>
                <w:szCs w:val="21"/>
                <w:u w:val="none"/>
                <w:lang w:val="en-US" w:eastAsia="zh-CN"/>
              </w:rPr>
              <w:br w:type="textWrapping"/>
            </w:r>
            <w:r>
              <w:rPr>
                <w:rFonts w:hint="eastAsia" w:ascii="方正仿宋_GBK" w:eastAsia="方正仿宋_GBK" w:cs="方正仿宋_GBK"/>
                <w:i w:val="0"/>
                <w:iCs w:val="0"/>
                <w:color w:val="auto"/>
                <w:kern w:val="0"/>
                <w:sz w:val="21"/>
                <w:szCs w:val="21"/>
                <w:u w:val="none"/>
                <w:lang w:val="en-US" w:eastAsia="zh-CN"/>
              </w:rPr>
              <w:t>（三）确保产品符合放行要求，并组织开展上市后产品质量的信息收集工作。</w:t>
            </w:r>
            <w:r>
              <w:rPr>
                <w:rFonts w:hint="eastAsia" w:ascii="方正仿宋_GBK" w:eastAsia="方正仿宋_GBK" w:cs="方正仿宋_GBK"/>
                <w:i w:val="0"/>
                <w:iCs w:val="0"/>
                <w:color w:val="auto"/>
                <w:kern w:val="0"/>
                <w:sz w:val="21"/>
                <w:szCs w:val="21"/>
                <w:u w:val="none"/>
                <w:lang w:val="en-US" w:eastAsia="zh-CN"/>
              </w:rPr>
              <w:br w:type="textWrapping"/>
            </w:r>
            <w:r>
              <w:rPr>
                <w:rFonts w:hint="eastAsia" w:ascii="方正仿宋_GBK" w:eastAsia="方正仿宋_GBK" w:cs="方正仿宋_GBK"/>
                <w:i w:val="0"/>
                <w:iCs w:val="0"/>
                <w:color w:val="auto"/>
                <w:kern w:val="0"/>
                <w:sz w:val="21"/>
                <w:szCs w:val="21"/>
                <w:u w:val="none"/>
                <w:lang w:val="en-US" w:eastAsia="zh-CN"/>
              </w:rPr>
              <w:t>（四）组织开展企业自查、不良事件监测及报告、医疗器械召回等工作。</w:t>
            </w:r>
            <w:r>
              <w:rPr>
                <w:rFonts w:hint="eastAsia" w:ascii="方正仿宋_GBK" w:eastAsia="方正仿宋_GBK" w:cs="方正仿宋_GBK"/>
                <w:i w:val="0"/>
                <w:iCs w:val="0"/>
                <w:color w:val="auto"/>
                <w:kern w:val="0"/>
                <w:sz w:val="21"/>
                <w:szCs w:val="21"/>
                <w:u w:val="none"/>
                <w:lang w:val="en-US" w:eastAsia="zh-CN"/>
              </w:rPr>
              <w:br w:type="textWrapping"/>
            </w:r>
            <w:r>
              <w:rPr>
                <w:rFonts w:hint="eastAsia" w:ascii="方正仿宋_GBK" w:eastAsia="方正仿宋_GBK" w:cs="方正仿宋_GBK"/>
                <w:i w:val="0"/>
                <w:iCs w:val="0"/>
                <w:color w:val="auto"/>
                <w:kern w:val="0"/>
                <w:sz w:val="21"/>
                <w:szCs w:val="21"/>
                <w:u w:val="none"/>
                <w:lang w:val="en-US" w:eastAsia="zh-CN"/>
              </w:rPr>
              <w:t>（五）配合药品监督管理部门开展监督检查，针对发现的问题，组织企业相关部门按照要求及时整改。</w:t>
            </w:r>
            <w:r>
              <w:rPr>
                <w:rFonts w:hint="eastAsia" w:ascii="方正仿宋_GBK" w:eastAsia="方正仿宋_GBK" w:cs="方正仿宋_GBK"/>
                <w:i w:val="0"/>
                <w:iCs w:val="0"/>
                <w:color w:val="auto"/>
                <w:kern w:val="0"/>
                <w:sz w:val="21"/>
                <w:szCs w:val="21"/>
                <w:u w:val="none"/>
                <w:lang w:val="en-US" w:eastAsia="zh-CN"/>
              </w:rPr>
              <w:br w:type="textWrapping"/>
            </w:r>
            <w:r>
              <w:rPr>
                <w:rFonts w:hint="eastAsia" w:ascii="方正仿宋_GBK" w:eastAsia="方正仿宋_GBK" w:cs="方正仿宋_GBK"/>
                <w:i w:val="0"/>
                <w:iCs w:val="0"/>
                <w:color w:val="auto"/>
                <w:kern w:val="0"/>
                <w:sz w:val="21"/>
                <w:szCs w:val="21"/>
                <w:u w:val="none"/>
                <w:lang w:val="en-US" w:eastAsia="zh-CN"/>
              </w:rPr>
              <w:t>生产企业负责人应当与管理者代表签订授权书，明确管理者代表应当履行的质量管理职责并授予相应的权限。企业应当建立健全管理者代表相关管理制度和考核机制，为管理者代表履行职责提供必要条件，同时确保其在履行职责时不受企业内部因素的不当干扰。</w:t>
            </w:r>
          </w:p>
        </w:tc>
        <w:tc>
          <w:tcPr>
            <w:tcW w:w="863"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66FDE4F6">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1.3.4</w:t>
            </w:r>
          </w:p>
        </w:tc>
        <w:tc>
          <w:tcPr>
            <w:tcW w:w="5470" w:type="dxa"/>
            <w:tcBorders>
              <w:top w:val="single" w:color="000000" w:sz="4" w:space="0"/>
              <w:left w:val="single" w:color="000000" w:sz="4" w:space="0"/>
              <w:bottom w:val="single" w:color="000000" w:sz="4" w:space="0"/>
              <w:right w:val="single" w:color="000000" w:sz="4" w:space="0"/>
              <w:tl2br w:val="nil"/>
              <w:tr2bl w:val="nil"/>
            </w:tcBorders>
            <w:noWrap/>
          </w:tcPr>
          <w:p w14:paraId="21A09D03">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有管理者代表的任命、授权文件并对其职责做出明确规定，建立有效的管理制度和考核机制，确保在企业内部独立履行职责，按考核机制考核且留有考核记录；管理者代表不兼任其他岗位职责，具有内审员证书或接受过同等水平的系统化的质量管理体系知识培训；充分履行企业自查、不良事件监测及报告、医疗器械召回等管理者代表应当履行的职责并且留有相关记录，得5分；</w:t>
            </w:r>
          </w:p>
        </w:tc>
        <w:tc>
          <w:tcPr>
            <w:tcW w:w="810"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6EF51640">
            <w:pPr>
              <w:keepNext w:val="0"/>
              <w:keepLines w:val="0"/>
              <w:pageBreakBefore w:val="0"/>
              <w:widowControl/>
              <w:suppressLineNumbers w:val="0"/>
              <w:kinsoku/>
              <w:wordWrap/>
              <w:overflowPunct/>
              <w:topLinePunct w:val="0"/>
              <w:autoSpaceDE/>
              <w:autoSpaceDN/>
              <w:bidi w:val="0"/>
              <w:adjustRightInd w:val="0"/>
              <w:snapToGrid w:val="0"/>
              <w:spacing w:line="320" w:lineRule="exact"/>
              <w:jc w:val="center"/>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5</w:t>
            </w:r>
          </w:p>
        </w:tc>
        <w:tc>
          <w:tcPr>
            <w:tcW w:w="810"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1AB25DB9">
            <w:pPr>
              <w:keepNext w:val="0"/>
              <w:keepLines w:val="0"/>
              <w:pageBreakBefore w:val="0"/>
              <w:widowControl/>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p>
        </w:tc>
        <w:tc>
          <w:tcPr>
            <w:tcW w:w="783"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7C619A11">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p>
        </w:tc>
      </w:tr>
      <w:tr w14:paraId="2CD429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0" w:hRule="atLeast"/>
          <w:jc w:val="center"/>
        </w:trPr>
        <w:tc>
          <w:tcPr>
            <w:tcW w:w="1228"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49C1C8A2"/>
        </w:tc>
        <w:tc>
          <w:tcPr>
            <w:tcW w:w="1409"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0D8153FE"/>
        </w:tc>
        <w:tc>
          <w:tcPr>
            <w:tcW w:w="4152"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4812901C"/>
        </w:tc>
        <w:tc>
          <w:tcPr>
            <w:tcW w:w="863"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1A331031"/>
        </w:tc>
        <w:tc>
          <w:tcPr>
            <w:tcW w:w="5470" w:type="dxa"/>
            <w:tcBorders>
              <w:top w:val="single" w:color="000000" w:sz="4" w:space="0"/>
              <w:left w:val="single" w:color="000000" w:sz="4" w:space="0"/>
              <w:bottom w:val="single" w:color="000000" w:sz="4" w:space="0"/>
              <w:right w:val="single" w:color="000000" w:sz="4" w:space="0"/>
              <w:tl2br w:val="nil"/>
              <w:tr2bl w:val="nil"/>
            </w:tcBorders>
            <w:noWrap/>
          </w:tcPr>
          <w:p w14:paraId="628B185A">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有管理者代表的任命、授权文件并对其职责做出明确规定，建立相关的管理制度和考核机制，确保在企业内部独立履行职责，按考核机制考核且留有考核记录；充分履行企业自查、不良事件监测及报告、医疗器械召回等管理者代表应当履行的职责并且留有相关记录，得3分；</w:t>
            </w:r>
          </w:p>
        </w:tc>
        <w:tc>
          <w:tcPr>
            <w:tcW w:w="810"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69CF1B46"/>
        </w:tc>
        <w:tc>
          <w:tcPr>
            <w:tcW w:w="810"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4338C5A6"/>
        </w:tc>
        <w:tc>
          <w:tcPr>
            <w:tcW w:w="783"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1F6B9F1B"/>
        </w:tc>
      </w:tr>
      <w:tr w14:paraId="09035C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0" w:hRule="atLeast"/>
          <w:jc w:val="center"/>
        </w:trPr>
        <w:tc>
          <w:tcPr>
            <w:tcW w:w="1228"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38E3BE14"/>
        </w:tc>
        <w:tc>
          <w:tcPr>
            <w:tcW w:w="1409"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73915635"/>
        </w:tc>
        <w:tc>
          <w:tcPr>
            <w:tcW w:w="4152"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5DA8CF0B"/>
        </w:tc>
        <w:tc>
          <w:tcPr>
            <w:tcW w:w="863"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2CF34B3A"/>
        </w:tc>
        <w:tc>
          <w:tcPr>
            <w:tcW w:w="5470" w:type="dxa"/>
            <w:tcBorders>
              <w:top w:val="single" w:color="000000" w:sz="4" w:space="0"/>
              <w:left w:val="single" w:color="000000" w:sz="4" w:space="0"/>
              <w:bottom w:val="single" w:color="000000" w:sz="4" w:space="0"/>
              <w:right w:val="single" w:color="000000" w:sz="4" w:space="0"/>
              <w:tl2br w:val="nil"/>
              <w:tr2bl w:val="nil"/>
            </w:tcBorders>
            <w:noWrap/>
          </w:tcPr>
          <w:p w14:paraId="06EC33D6">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存在无管理者代表的任命、授权文件或文件对其职责规定不明确，不能在企业内部独立履行职责，在其他公司兼职，不能充分履行自查报告、不良事件监测等管理者代表应当履行的职责或无其履职情况相关记录的情形之一的，不得分。</w:t>
            </w:r>
          </w:p>
        </w:tc>
        <w:tc>
          <w:tcPr>
            <w:tcW w:w="810"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097B584A"/>
        </w:tc>
        <w:tc>
          <w:tcPr>
            <w:tcW w:w="810"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001F64AC"/>
        </w:tc>
        <w:tc>
          <w:tcPr>
            <w:tcW w:w="783"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7AEA63FE"/>
        </w:tc>
      </w:tr>
      <w:tr w14:paraId="1758D1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1228"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5045EAC7"/>
        </w:tc>
        <w:tc>
          <w:tcPr>
            <w:tcW w:w="1409"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77D65B90">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质量负责人</w:t>
            </w:r>
          </w:p>
        </w:tc>
        <w:tc>
          <w:tcPr>
            <w:tcW w:w="4152"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475C00A6">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生产企业应当设立质量管理部门并任命质量管理部门负责人。质量管理部门负责人应当熟悉医疗器械相关法律、法规、规章、规范和标准，具有质量管理的实践经验和工作技能，并具备与所生产产品相匹配的专业知识和工作经历。</w:t>
            </w:r>
            <w:r>
              <w:rPr>
                <w:rFonts w:hint="eastAsia" w:ascii="方正仿宋_GBK" w:eastAsia="方正仿宋_GBK" w:cs="方正仿宋_GBK"/>
                <w:i w:val="0"/>
                <w:iCs w:val="0"/>
                <w:color w:val="auto"/>
                <w:kern w:val="0"/>
                <w:sz w:val="21"/>
                <w:szCs w:val="21"/>
                <w:u w:val="none"/>
                <w:lang w:val="en-US" w:eastAsia="zh-CN"/>
              </w:rPr>
              <w:br w:type="textWrapping"/>
            </w:r>
            <w:r>
              <w:rPr>
                <w:rFonts w:hint="eastAsia" w:ascii="方正仿宋_GBK" w:eastAsia="方正仿宋_GBK" w:cs="方正仿宋_GBK"/>
                <w:i w:val="0"/>
                <w:iCs w:val="0"/>
                <w:color w:val="auto"/>
                <w:kern w:val="0"/>
                <w:sz w:val="21"/>
                <w:szCs w:val="21"/>
                <w:u w:val="none"/>
                <w:lang w:val="en-US" w:eastAsia="zh-CN"/>
              </w:rPr>
              <w:t>质量管理部门负责人与生产管理部门负责人不得相互兼任。</w:t>
            </w:r>
            <w:r>
              <w:rPr>
                <w:rFonts w:hint="eastAsia" w:ascii="方正仿宋_GBK" w:eastAsia="方正仿宋_GBK" w:cs="方正仿宋_GBK"/>
                <w:i w:val="0"/>
                <w:iCs w:val="0"/>
                <w:color w:val="auto"/>
                <w:kern w:val="0"/>
                <w:sz w:val="21"/>
                <w:szCs w:val="21"/>
                <w:u w:val="none"/>
                <w:lang w:val="en-US" w:eastAsia="zh-CN"/>
              </w:rPr>
              <w:br w:type="textWrapping"/>
            </w:r>
            <w:r>
              <w:rPr>
                <w:rFonts w:hint="eastAsia" w:ascii="方正仿宋_GBK" w:eastAsia="方正仿宋_GBK" w:cs="方正仿宋_GBK"/>
                <w:i w:val="0"/>
                <w:iCs w:val="0"/>
                <w:color w:val="auto"/>
                <w:kern w:val="0"/>
                <w:sz w:val="21"/>
                <w:szCs w:val="21"/>
                <w:u w:val="none"/>
                <w:lang w:val="en-US" w:eastAsia="zh-CN"/>
              </w:rPr>
              <w:t>质量管理部门负责人应当履行包括但不限于以下职责：</w:t>
            </w:r>
            <w:r>
              <w:rPr>
                <w:rFonts w:hint="eastAsia" w:ascii="方正仿宋_GBK" w:eastAsia="方正仿宋_GBK" w:cs="方正仿宋_GBK"/>
                <w:i w:val="0"/>
                <w:iCs w:val="0"/>
                <w:color w:val="auto"/>
                <w:kern w:val="0"/>
                <w:sz w:val="21"/>
                <w:szCs w:val="21"/>
                <w:u w:val="none"/>
                <w:lang w:val="en-US" w:eastAsia="zh-CN"/>
              </w:rPr>
              <w:br w:type="textWrapping"/>
            </w:r>
            <w:r>
              <w:rPr>
                <w:rFonts w:hint="eastAsia" w:ascii="方正仿宋_GBK" w:eastAsia="方正仿宋_GBK" w:cs="方正仿宋_GBK"/>
                <w:i w:val="0"/>
                <w:iCs w:val="0"/>
                <w:color w:val="auto"/>
                <w:kern w:val="0"/>
                <w:sz w:val="21"/>
                <w:szCs w:val="21"/>
                <w:u w:val="none"/>
                <w:lang w:val="en-US" w:eastAsia="zh-CN"/>
              </w:rPr>
              <w:t>（一）依据质量控制程序要求，正确识别各项质量管控点，制定管理规程。</w:t>
            </w:r>
            <w:r>
              <w:rPr>
                <w:rFonts w:hint="eastAsia" w:ascii="方正仿宋_GBK" w:eastAsia="方正仿宋_GBK" w:cs="方正仿宋_GBK"/>
                <w:i w:val="0"/>
                <w:iCs w:val="0"/>
                <w:color w:val="auto"/>
                <w:kern w:val="0"/>
                <w:sz w:val="21"/>
                <w:szCs w:val="21"/>
                <w:u w:val="none"/>
                <w:lang w:val="en-US" w:eastAsia="zh-CN"/>
              </w:rPr>
              <w:br w:type="textWrapping"/>
            </w:r>
            <w:r>
              <w:rPr>
                <w:rFonts w:hint="eastAsia" w:ascii="方正仿宋_GBK" w:eastAsia="方正仿宋_GBK" w:cs="方正仿宋_GBK"/>
                <w:i w:val="0"/>
                <w:iCs w:val="0"/>
                <w:color w:val="auto"/>
                <w:kern w:val="0"/>
                <w:sz w:val="21"/>
                <w:szCs w:val="21"/>
                <w:u w:val="none"/>
                <w:lang w:val="en-US" w:eastAsia="zh-CN"/>
              </w:rPr>
              <w:t>（二）确保本部门人员经相关培训，掌握相关理论知识和实际操作技能。</w:t>
            </w:r>
            <w:r>
              <w:rPr>
                <w:rFonts w:hint="eastAsia" w:ascii="方正仿宋_GBK" w:eastAsia="方正仿宋_GBK" w:cs="方正仿宋_GBK"/>
                <w:i w:val="0"/>
                <w:iCs w:val="0"/>
                <w:color w:val="auto"/>
                <w:kern w:val="0"/>
                <w:sz w:val="21"/>
                <w:szCs w:val="21"/>
                <w:u w:val="none"/>
                <w:lang w:val="en-US" w:eastAsia="zh-CN"/>
              </w:rPr>
              <w:br w:type="textWrapping"/>
            </w:r>
            <w:r>
              <w:rPr>
                <w:rFonts w:hint="eastAsia" w:ascii="方正仿宋_GBK" w:eastAsia="方正仿宋_GBK" w:cs="方正仿宋_GBK"/>
                <w:i w:val="0"/>
                <w:iCs w:val="0"/>
                <w:color w:val="auto"/>
                <w:kern w:val="0"/>
                <w:sz w:val="21"/>
                <w:szCs w:val="21"/>
                <w:u w:val="none"/>
                <w:lang w:val="en-US" w:eastAsia="zh-CN"/>
              </w:rPr>
              <w:t>（三）对质量管理中的实际问题进行分析、判断和处理。</w:t>
            </w:r>
          </w:p>
        </w:tc>
        <w:tc>
          <w:tcPr>
            <w:tcW w:w="863"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67D9C2A9">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1.4.1</w:t>
            </w:r>
          </w:p>
        </w:tc>
        <w:tc>
          <w:tcPr>
            <w:tcW w:w="5470" w:type="dxa"/>
            <w:tcBorders>
              <w:top w:val="single" w:color="000000" w:sz="4" w:space="0"/>
              <w:left w:val="single" w:color="000000" w:sz="4" w:space="0"/>
              <w:bottom w:val="single" w:color="000000" w:sz="4" w:space="0"/>
              <w:right w:val="single" w:color="000000" w:sz="4" w:space="0"/>
              <w:tl2br w:val="nil"/>
              <w:tr2bl w:val="nil"/>
            </w:tcBorders>
            <w:noWrap/>
          </w:tcPr>
          <w:p w14:paraId="24733535">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医疗器械相关法规考试，得分≥90分，得3分；</w:t>
            </w:r>
          </w:p>
        </w:tc>
        <w:tc>
          <w:tcPr>
            <w:tcW w:w="810"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6D561592">
            <w:pPr>
              <w:keepNext w:val="0"/>
              <w:keepLines w:val="0"/>
              <w:pageBreakBefore w:val="0"/>
              <w:widowControl/>
              <w:suppressLineNumbers w:val="0"/>
              <w:kinsoku/>
              <w:wordWrap/>
              <w:overflowPunct/>
              <w:topLinePunct w:val="0"/>
              <w:autoSpaceDE/>
              <w:autoSpaceDN/>
              <w:bidi w:val="0"/>
              <w:adjustRightInd w:val="0"/>
              <w:snapToGrid w:val="0"/>
              <w:spacing w:line="320" w:lineRule="exact"/>
              <w:jc w:val="center"/>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3</w:t>
            </w:r>
          </w:p>
        </w:tc>
        <w:tc>
          <w:tcPr>
            <w:tcW w:w="810"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42CB0732">
            <w:pPr>
              <w:keepNext w:val="0"/>
              <w:keepLines w:val="0"/>
              <w:pageBreakBefore w:val="0"/>
              <w:widowControl/>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p>
        </w:tc>
        <w:tc>
          <w:tcPr>
            <w:tcW w:w="783"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6C9BD3B4">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p>
        </w:tc>
      </w:tr>
      <w:tr w14:paraId="4B3AB6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1228"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48341CD6"/>
        </w:tc>
        <w:tc>
          <w:tcPr>
            <w:tcW w:w="1409"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7DB61195"/>
        </w:tc>
        <w:tc>
          <w:tcPr>
            <w:tcW w:w="4152"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4673B9EC"/>
        </w:tc>
        <w:tc>
          <w:tcPr>
            <w:tcW w:w="863"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7ED32AB8"/>
        </w:tc>
        <w:tc>
          <w:tcPr>
            <w:tcW w:w="5470" w:type="dxa"/>
            <w:tcBorders>
              <w:top w:val="single" w:color="000000" w:sz="4" w:space="0"/>
              <w:left w:val="single" w:color="000000" w:sz="4" w:space="0"/>
              <w:bottom w:val="single" w:color="000000" w:sz="4" w:space="0"/>
              <w:right w:val="single" w:color="000000" w:sz="4" w:space="0"/>
              <w:tl2br w:val="nil"/>
              <w:tr2bl w:val="nil"/>
            </w:tcBorders>
            <w:noWrap/>
          </w:tcPr>
          <w:p w14:paraId="51954240">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医疗器械相关法规考试，90＞得分≥75分，得2分；</w:t>
            </w:r>
          </w:p>
        </w:tc>
        <w:tc>
          <w:tcPr>
            <w:tcW w:w="810"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3E106A32"/>
        </w:tc>
        <w:tc>
          <w:tcPr>
            <w:tcW w:w="810"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5521B131"/>
        </w:tc>
        <w:tc>
          <w:tcPr>
            <w:tcW w:w="783"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4ACA547F"/>
        </w:tc>
      </w:tr>
      <w:tr w14:paraId="74ECFE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1228"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32C2480F"/>
        </w:tc>
        <w:tc>
          <w:tcPr>
            <w:tcW w:w="1409"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3E6549C7"/>
        </w:tc>
        <w:tc>
          <w:tcPr>
            <w:tcW w:w="4152"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4E7F1560"/>
        </w:tc>
        <w:tc>
          <w:tcPr>
            <w:tcW w:w="863"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5B09E757"/>
        </w:tc>
        <w:tc>
          <w:tcPr>
            <w:tcW w:w="5470" w:type="dxa"/>
            <w:tcBorders>
              <w:top w:val="single" w:color="000000" w:sz="4" w:space="0"/>
              <w:left w:val="single" w:color="000000" w:sz="4" w:space="0"/>
              <w:bottom w:val="single" w:color="000000" w:sz="4" w:space="0"/>
              <w:right w:val="single" w:color="000000" w:sz="4" w:space="0"/>
              <w:tl2br w:val="nil"/>
              <w:tr2bl w:val="nil"/>
            </w:tcBorders>
            <w:noWrap/>
          </w:tcPr>
          <w:p w14:paraId="7110F629">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医疗器械相关法规考试，得分＜75分，不得分。</w:t>
            </w:r>
          </w:p>
        </w:tc>
        <w:tc>
          <w:tcPr>
            <w:tcW w:w="810"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749AE8EB"/>
        </w:tc>
        <w:tc>
          <w:tcPr>
            <w:tcW w:w="810"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0DA6CAF8"/>
        </w:tc>
        <w:tc>
          <w:tcPr>
            <w:tcW w:w="783"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37CE2884"/>
        </w:tc>
      </w:tr>
      <w:tr w14:paraId="7A17C6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0" w:hRule="atLeast"/>
          <w:jc w:val="center"/>
        </w:trPr>
        <w:tc>
          <w:tcPr>
            <w:tcW w:w="1228"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01368936"/>
        </w:tc>
        <w:tc>
          <w:tcPr>
            <w:tcW w:w="1409"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23EE913A"/>
        </w:tc>
        <w:tc>
          <w:tcPr>
            <w:tcW w:w="4152"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7FFDF88B"/>
        </w:tc>
        <w:tc>
          <w:tcPr>
            <w:tcW w:w="863"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628282E6">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1.4.2</w:t>
            </w:r>
          </w:p>
        </w:tc>
        <w:tc>
          <w:tcPr>
            <w:tcW w:w="5470" w:type="dxa"/>
            <w:tcBorders>
              <w:top w:val="single" w:color="000000" w:sz="4" w:space="0"/>
              <w:left w:val="single" w:color="000000" w:sz="4" w:space="0"/>
              <w:bottom w:val="single" w:color="000000" w:sz="4" w:space="0"/>
              <w:right w:val="single" w:color="000000" w:sz="4" w:space="0"/>
              <w:tl2br w:val="nil"/>
              <w:tr2bl w:val="nil"/>
            </w:tcBorders>
            <w:noWrap/>
          </w:tcPr>
          <w:p w14:paraId="00DD1C75">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具有质量管理的实践经验和工作技能，并具备与所生产产品相匹配的专业知识和工作经历，与生产管理部门负责人不互相兼任，制定了质量管控规程，涵盖各项质量管控点，确保本部门人员经过培训且留有培训记录，具有良好的履职能力，得5分；</w:t>
            </w:r>
          </w:p>
        </w:tc>
        <w:tc>
          <w:tcPr>
            <w:tcW w:w="810"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34522FCF">
            <w:pPr>
              <w:keepNext w:val="0"/>
              <w:keepLines w:val="0"/>
              <w:pageBreakBefore w:val="0"/>
              <w:widowControl/>
              <w:suppressLineNumbers w:val="0"/>
              <w:kinsoku/>
              <w:wordWrap/>
              <w:overflowPunct/>
              <w:topLinePunct w:val="0"/>
              <w:autoSpaceDE/>
              <w:autoSpaceDN/>
              <w:bidi w:val="0"/>
              <w:adjustRightInd w:val="0"/>
              <w:snapToGrid w:val="0"/>
              <w:spacing w:line="320" w:lineRule="exact"/>
              <w:jc w:val="center"/>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5</w:t>
            </w:r>
          </w:p>
        </w:tc>
        <w:tc>
          <w:tcPr>
            <w:tcW w:w="810"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0F24BE47">
            <w:pPr>
              <w:keepNext w:val="0"/>
              <w:keepLines w:val="0"/>
              <w:pageBreakBefore w:val="0"/>
              <w:widowControl/>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p>
        </w:tc>
        <w:tc>
          <w:tcPr>
            <w:tcW w:w="783"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3B06B0A0"/>
        </w:tc>
      </w:tr>
      <w:tr w14:paraId="6058C1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0" w:hRule="atLeast"/>
          <w:jc w:val="center"/>
        </w:trPr>
        <w:tc>
          <w:tcPr>
            <w:tcW w:w="1228"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2779A6BF"/>
        </w:tc>
        <w:tc>
          <w:tcPr>
            <w:tcW w:w="1409"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5CA3F8A6"/>
        </w:tc>
        <w:tc>
          <w:tcPr>
            <w:tcW w:w="4152"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46D750FF"/>
        </w:tc>
        <w:tc>
          <w:tcPr>
            <w:tcW w:w="863"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238586CE"/>
        </w:tc>
        <w:tc>
          <w:tcPr>
            <w:tcW w:w="5470" w:type="dxa"/>
            <w:tcBorders>
              <w:top w:val="single" w:color="000000" w:sz="4" w:space="0"/>
              <w:left w:val="single" w:color="000000" w:sz="4" w:space="0"/>
              <w:bottom w:val="single" w:color="000000" w:sz="4" w:space="0"/>
              <w:right w:val="single" w:color="000000" w:sz="4" w:space="0"/>
              <w:tl2br w:val="nil"/>
              <w:tr2bl w:val="nil"/>
            </w:tcBorders>
            <w:noWrap/>
          </w:tcPr>
          <w:p w14:paraId="11CB1D6E">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具有质量管理的实践经验和工作技能，并具备与所生产产品相匹配的专业知识和工作经历，与生产管理部门负责人不互相兼任，制定了质量管控规程，确保本部门人员经过培训且留有培训记录，具有较好的履职能力，得3分；</w:t>
            </w:r>
          </w:p>
        </w:tc>
        <w:tc>
          <w:tcPr>
            <w:tcW w:w="810"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0CD70313"/>
        </w:tc>
        <w:tc>
          <w:tcPr>
            <w:tcW w:w="810"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2181E920"/>
        </w:tc>
        <w:tc>
          <w:tcPr>
            <w:tcW w:w="783"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0412B375"/>
        </w:tc>
      </w:tr>
      <w:tr w14:paraId="448DF6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0" w:hRule="atLeast"/>
          <w:jc w:val="center"/>
        </w:trPr>
        <w:tc>
          <w:tcPr>
            <w:tcW w:w="1228"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7550F1FF"/>
        </w:tc>
        <w:tc>
          <w:tcPr>
            <w:tcW w:w="1409"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22816639"/>
        </w:tc>
        <w:tc>
          <w:tcPr>
            <w:tcW w:w="4152"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0744CDD3"/>
        </w:tc>
        <w:tc>
          <w:tcPr>
            <w:tcW w:w="863"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4893602B"/>
        </w:tc>
        <w:tc>
          <w:tcPr>
            <w:tcW w:w="5470" w:type="dxa"/>
            <w:tcBorders>
              <w:top w:val="single" w:color="000000" w:sz="4" w:space="0"/>
              <w:left w:val="single" w:color="000000" w:sz="4" w:space="0"/>
              <w:bottom w:val="single" w:color="000000" w:sz="4" w:space="0"/>
              <w:right w:val="single" w:color="000000" w:sz="4" w:space="0"/>
              <w:tl2br w:val="nil"/>
              <w:tr2bl w:val="nil"/>
            </w:tcBorders>
            <w:noWrap/>
          </w:tcPr>
          <w:p w14:paraId="0468FBF3">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没有质量管理的实践经验和工作技能，或不具备与所生产产品相匹配的专业知识和工作经历，或质量管理负责人与生产管理部门负责人互相兼任，或不具备履职能力，不得分。</w:t>
            </w:r>
          </w:p>
        </w:tc>
        <w:tc>
          <w:tcPr>
            <w:tcW w:w="810"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008C6645"/>
        </w:tc>
        <w:tc>
          <w:tcPr>
            <w:tcW w:w="810"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2A80057B"/>
        </w:tc>
        <w:tc>
          <w:tcPr>
            <w:tcW w:w="783"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0B5A8EBF"/>
        </w:tc>
      </w:tr>
      <w:tr w14:paraId="2CF2BE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0" w:hRule="atLeast"/>
          <w:jc w:val="center"/>
        </w:trPr>
        <w:tc>
          <w:tcPr>
            <w:tcW w:w="1228"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216032AD">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二、质量安全管理机制（质量管控）</w:t>
            </w:r>
          </w:p>
        </w:tc>
        <w:tc>
          <w:tcPr>
            <w:tcW w:w="1409"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02A90E99">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质量管理体系</w:t>
            </w:r>
          </w:p>
        </w:tc>
        <w:tc>
          <w:tcPr>
            <w:tcW w:w="4152"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0B8D9431">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企业应当严格按照相关法律、法规、规章、规范等要求，开展医疗器械生产和经营活动。质量安全关键岗位人员应当充分履行岗位职责，保持质量管理体系持续有效运行，保证医疗器械生产全过程持续符合医疗器械生产质量管理规范要求。</w:t>
            </w:r>
          </w:p>
        </w:tc>
        <w:tc>
          <w:tcPr>
            <w:tcW w:w="863"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04DC3974">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highlight w:val="none"/>
                <w:u w:val="none"/>
                <w:lang w:val="en-US" w:eastAsia="zh-CN"/>
              </w:rPr>
              <w:t>2.1.1</w:t>
            </w:r>
          </w:p>
        </w:tc>
        <w:tc>
          <w:tcPr>
            <w:tcW w:w="5470" w:type="dxa"/>
            <w:tcBorders>
              <w:top w:val="single" w:color="000000" w:sz="4" w:space="0"/>
              <w:left w:val="single" w:color="000000" w:sz="4" w:space="0"/>
              <w:bottom w:val="single" w:color="000000" w:sz="4" w:space="0"/>
              <w:right w:val="single" w:color="000000" w:sz="4" w:space="0"/>
              <w:tl2br w:val="nil"/>
              <w:tr2bl w:val="nil"/>
            </w:tcBorders>
            <w:noWrap/>
          </w:tcPr>
          <w:p w14:paraId="65E98A14">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年度日常监管无</w:t>
            </w:r>
            <w:r>
              <w:rPr>
                <w:rFonts w:hint="eastAsia" w:ascii="方正仿宋_GBK" w:eastAsia="方正仿宋_GBK" w:cs="方正仿宋_GBK"/>
                <w:i w:val="0"/>
                <w:iCs w:val="0"/>
                <w:color w:val="auto"/>
                <w:kern w:val="0"/>
                <w:sz w:val="21"/>
                <w:szCs w:val="21"/>
                <w:highlight w:val="none"/>
                <w:u w:val="none"/>
                <w:lang w:val="en-US" w:eastAsia="zh-CN"/>
              </w:rPr>
              <w:t>关键项目</w:t>
            </w:r>
            <w:r>
              <w:rPr>
                <w:rFonts w:hint="eastAsia" w:ascii="方正仿宋_GBK" w:eastAsia="方正仿宋_GBK" w:cs="方正仿宋_GBK"/>
                <w:i w:val="0"/>
                <w:iCs w:val="0"/>
                <w:color w:val="auto"/>
                <w:kern w:val="0"/>
                <w:sz w:val="21"/>
                <w:szCs w:val="21"/>
                <w:u w:val="none"/>
                <w:lang w:val="en-US" w:eastAsia="zh-CN"/>
              </w:rPr>
              <w:t>不符合，且单次检查一般项目不符合数量少于</w:t>
            </w:r>
            <w:r>
              <w:rPr>
                <w:rStyle w:val="6"/>
                <w:rFonts w:ascii="方正仿宋_GBK" w:eastAsia="方正仿宋_GBK" w:cs="方正仿宋_GBK"/>
                <w:color w:val="auto"/>
                <w:kern w:val="0"/>
                <w:sz w:val="21"/>
                <w:szCs w:val="21"/>
                <w:lang w:val="en-US" w:eastAsia="zh-CN"/>
              </w:rPr>
              <w:t>5</w:t>
            </w:r>
            <w:r>
              <w:rPr>
                <w:rStyle w:val="7"/>
                <w:rFonts w:ascii="方正仿宋_GBK" w:eastAsia="方正仿宋_GBK" w:cs="方正仿宋_GBK"/>
                <w:color w:val="auto"/>
                <w:kern w:val="0"/>
                <w:sz w:val="21"/>
                <w:szCs w:val="21"/>
                <w:lang w:val="en-US" w:eastAsia="zh-CN"/>
              </w:rPr>
              <w:t>条的，得5分；</w:t>
            </w:r>
          </w:p>
        </w:tc>
        <w:tc>
          <w:tcPr>
            <w:tcW w:w="810"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4B4F09E2">
            <w:pPr>
              <w:keepNext w:val="0"/>
              <w:keepLines w:val="0"/>
              <w:pageBreakBefore w:val="0"/>
              <w:widowControl/>
              <w:suppressLineNumbers w:val="0"/>
              <w:kinsoku/>
              <w:wordWrap/>
              <w:overflowPunct/>
              <w:topLinePunct w:val="0"/>
              <w:autoSpaceDE/>
              <w:autoSpaceDN/>
              <w:bidi w:val="0"/>
              <w:adjustRightInd w:val="0"/>
              <w:snapToGrid w:val="0"/>
              <w:spacing w:line="320" w:lineRule="exact"/>
              <w:jc w:val="center"/>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5</w:t>
            </w:r>
          </w:p>
        </w:tc>
        <w:tc>
          <w:tcPr>
            <w:tcW w:w="810"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199E2DC9">
            <w:pPr>
              <w:keepNext w:val="0"/>
              <w:keepLines w:val="0"/>
              <w:pageBreakBefore w:val="0"/>
              <w:widowControl/>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p>
        </w:tc>
        <w:tc>
          <w:tcPr>
            <w:tcW w:w="783"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5E65B6E1">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p>
        </w:tc>
      </w:tr>
      <w:tr w14:paraId="4E4C5F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2" w:hRule="atLeast"/>
          <w:jc w:val="center"/>
        </w:trPr>
        <w:tc>
          <w:tcPr>
            <w:tcW w:w="1228"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7FAE93B0"/>
        </w:tc>
        <w:tc>
          <w:tcPr>
            <w:tcW w:w="1409"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76996616"/>
        </w:tc>
        <w:tc>
          <w:tcPr>
            <w:tcW w:w="4152"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3CEF4EB6"/>
        </w:tc>
        <w:tc>
          <w:tcPr>
            <w:tcW w:w="863"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16D03F30"/>
        </w:tc>
        <w:tc>
          <w:tcPr>
            <w:tcW w:w="5470" w:type="dxa"/>
            <w:tcBorders>
              <w:top w:val="single" w:color="000000" w:sz="4" w:space="0"/>
              <w:left w:val="single" w:color="000000" w:sz="4" w:space="0"/>
              <w:bottom w:val="single" w:color="000000" w:sz="4" w:space="0"/>
              <w:right w:val="single" w:color="000000" w:sz="4" w:space="0"/>
              <w:tl2br w:val="nil"/>
              <w:tr2bl w:val="nil"/>
            </w:tcBorders>
            <w:noWrap/>
          </w:tcPr>
          <w:p w14:paraId="68BFA958">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年度日常监管无关键项目不符合，且单次检查一般项目不符合数量少于15条；得3分。</w:t>
            </w:r>
          </w:p>
        </w:tc>
        <w:tc>
          <w:tcPr>
            <w:tcW w:w="810"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4574431F"/>
        </w:tc>
        <w:tc>
          <w:tcPr>
            <w:tcW w:w="810"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64B31F23"/>
        </w:tc>
        <w:tc>
          <w:tcPr>
            <w:tcW w:w="783"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00A1CD5C"/>
        </w:tc>
      </w:tr>
      <w:tr w14:paraId="2A49DF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2" w:hRule="atLeast"/>
          <w:jc w:val="center"/>
        </w:trPr>
        <w:tc>
          <w:tcPr>
            <w:tcW w:w="1228"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130DDB71"/>
        </w:tc>
        <w:tc>
          <w:tcPr>
            <w:tcW w:w="1409"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4A41A128"/>
        </w:tc>
        <w:tc>
          <w:tcPr>
            <w:tcW w:w="4152"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3D3A7D6E"/>
        </w:tc>
        <w:tc>
          <w:tcPr>
            <w:tcW w:w="863"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54E75EFD"/>
        </w:tc>
        <w:tc>
          <w:tcPr>
            <w:tcW w:w="5470" w:type="dxa"/>
            <w:tcBorders>
              <w:top w:val="single" w:color="000000" w:sz="4" w:space="0"/>
              <w:left w:val="single" w:color="000000" w:sz="4" w:space="0"/>
              <w:bottom w:val="single" w:color="000000" w:sz="4" w:space="0"/>
              <w:right w:val="single" w:color="000000" w:sz="4" w:space="0"/>
              <w:tl2br w:val="nil"/>
              <w:tr2bl w:val="nil"/>
            </w:tcBorders>
            <w:noWrap/>
          </w:tcPr>
          <w:p w14:paraId="3338A284">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lang w:val="en-US" w:eastAsia="zh-CN"/>
              </w:rPr>
            </w:pPr>
            <w:r>
              <w:rPr>
                <w:rFonts w:hint="eastAsia" w:ascii="方正仿宋_GBK" w:eastAsia="方正仿宋_GBK" w:cs="方正仿宋_GBK"/>
                <w:i w:val="0"/>
                <w:iCs w:val="0"/>
                <w:color w:val="auto"/>
                <w:kern w:val="0"/>
                <w:sz w:val="21"/>
                <w:szCs w:val="21"/>
                <w:u w:val="none"/>
                <w:lang w:val="en-US" w:eastAsia="zh-CN"/>
              </w:rPr>
              <w:t>年度日常监管检查中，单次检查一般项目不符合数量大于15条，不得分。</w:t>
            </w:r>
          </w:p>
        </w:tc>
        <w:tc>
          <w:tcPr>
            <w:tcW w:w="810"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574F5015"/>
        </w:tc>
        <w:tc>
          <w:tcPr>
            <w:tcW w:w="810"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6D76B80E"/>
        </w:tc>
        <w:tc>
          <w:tcPr>
            <w:tcW w:w="783"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151738C2"/>
        </w:tc>
      </w:tr>
      <w:tr w14:paraId="742F57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5" w:hRule="atLeast"/>
          <w:jc w:val="center"/>
        </w:trPr>
        <w:tc>
          <w:tcPr>
            <w:tcW w:w="1228"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54E6DAAA"/>
        </w:tc>
        <w:tc>
          <w:tcPr>
            <w:tcW w:w="1409"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1E62CE4C"/>
        </w:tc>
        <w:tc>
          <w:tcPr>
            <w:tcW w:w="4152"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18730FBF"/>
        </w:tc>
        <w:tc>
          <w:tcPr>
            <w:tcW w:w="863"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094DB21A"/>
        </w:tc>
        <w:tc>
          <w:tcPr>
            <w:tcW w:w="5470" w:type="dxa"/>
            <w:tcBorders>
              <w:top w:val="single" w:color="000000" w:sz="4" w:space="0"/>
              <w:left w:val="single" w:color="000000" w:sz="4" w:space="0"/>
              <w:bottom w:val="single" w:color="000000" w:sz="4" w:space="0"/>
              <w:right w:val="single" w:color="000000" w:sz="4" w:space="0"/>
              <w:tl2br w:val="nil"/>
              <w:tr2bl w:val="nil"/>
            </w:tcBorders>
            <w:noWrap/>
          </w:tcPr>
          <w:p w14:paraId="48502465">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highlight w:val="none"/>
                <w:u w:val="none"/>
                <w:lang w:val="en-US" w:eastAsia="zh-CN"/>
              </w:rPr>
              <w:t>年度内未接受现场检查的，该条款不适用。</w:t>
            </w:r>
          </w:p>
        </w:tc>
        <w:tc>
          <w:tcPr>
            <w:tcW w:w="810"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065F5BD5"/>
        </w:tc>
        <w:tc>
          <w:tcPr>
            <w:tcW w:w="810"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2D4CE86E"/>
        </w:tc>
        <w:tc>
          <w:tcPr>
            <w:tcW w:w="783"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16D0AA9A"/>
        </w:tc>
      </w:tr>
      <w:tr w14:paraId="0AFA5A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0" w:hRule="atLeast"/>
          <w:jc w:val="center"/>
        </w:trPr>
        <w:tc>
          <w:tcPr>
            <w:tcW w:w="1228"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77D49EE9"/>
        </w:tc>
        <w:tc>
          <w:tcPr>
            <w:tcW w:w="1409"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6EC1A2EA">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产品放行</w:t>
            </w:r>
          </w:p>
        </w:tc>
        <w:tc>
          <w:tcPr>
            <w:tcW w:w="4152"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42D09FEE">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生产企业应当建立产品放行程序，明确产品放行条件及审核、批准要求。注册人、备案人应当负责产品上市放行，建立产品上市放行规程，明确放行标准、条件，由质量管理部门负责人组织对医疗器械生产过程记录和质量检验结果进行审核，符合标准和条件的，经授权的放行人员签字后方可上市。</w:t>
            </w:r>
          </w:p>
        </w:tc>
        <w:tc>
          <w:tcPr>
            <w:tcW w:w="863"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491EAE2B">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2.2.1</w:t>
            </w:r>
          </w:p>
        </w:tc>
        <w:tc>
          <w:tcPr>
            <w:tcW w:w="5470" w:type="dxa"/>
            <w:tcBorders>
              <w:top w:val="single" w:color="000000" w:sz="4" w:space="0"/>
              <w:left w:val="single" w:color="000000" w:sz="4" w:space="0"/>
              <w:bottom w:val="single" w:color="000000" w:sz="4" w:space="0"/>
              <w:right w:val="single" w:color="000000" w:sz="4" w:space="0"/>
              <w:tl2br w:val="nil"/>
              <w:tr2bl w:val="nil"/>
            </w:tcBorders>
            <w:noWrap/>
          </w:tcPr>
          <w:p w14:paraId="7D7D7008">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建立产品放行程序，明确产品放行条件及审核、批准要求，并完全按照程序规定，对照产品放行标准，放行条件进行审核，经批准后放行的，得3分；</w:t>
            </w:r>
          </w:p>
        </w:tc>
        <w:tc>
          <w:tcPr>
            <w:tcW w:w="810"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36654240">
            <w:pPr>
              <w:keepNext w:val="0"/>
              <w:keepLines w:val="0"/>
              <w:pageBreakBefore w:val="0"/>
              <w:widowControl/>
              <w:suppressLineNumbers w:val="0"/>
              <w:kinsoku/>
              <w:wordWrap/>
              <w:overflowPunct/>
              <w:topLinePunct w:val="0"/>
              <w:autoSpaceDE/>
              <w:autoSpaceDN/>
              <w:bidi w:val="0"/>
              <w:adjustRightInd w:val="0"/>
              <w:snapToGrid w:val="0"/>
              <w:spacing w:line="320" w:lineRule="exact"/>
              <w:jc w:val="center"/>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3</w:t>
            </w:r>
          </w:p>
        </w:tc>
        <w:tc>
          <w:tcPr>
            <w:tcW w:w="810"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18940848">
            <w:pPr>
              <w:keepNext w:val="0"/>
              <w:keepLines w:val="0"/>
              <w:pageBreakBefore w:val="0"/>
              <w:widowControl/>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p>
        </w:tc>
        <w:tc>
          <w:tcPr>
            <w:tcW w:w="783"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05D8B8CA">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p>
        </w:tc>
      </w:tr>
      <w:tr w14:paraId="09C081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0" w:hRule="atLeast"/>
          <w:jc w:val="center"/>
        </w:trPr>
        <w:tc>
          <w:tcPr>
            <w:tcW w:w="1228"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1DA1CDD0"/>
        </w:tc>
        <w:tc>
          <w:tcPr>
            <w:tcW w:w="1409"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016EA039"/>
        </w:tc>
        <w:tc>
          <w:tcPr>
            <w:tcW w:w="4152"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1E1D2819"/>
        </w:tc>
        <w:tc>
          <w:tcPr>
            <w:tcW w:w="863"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55DCAD8D"/>
        </w:tc>
        <w:tc>
          <w:tcPr>
            <w:tcW w:w="5470" w:type="dxa"/>
            <w:tcBorders>
              <w:top w:val="single" w:color="000000" w:sz="4" w:space="0"/>
              <w:left w:val="single" w:color="000000" w:sz="4" w:space="0"/>
              <w:bottom w:val="single" w:color="000000" w:sz="4" w:space="0"/>
              <w:right w:val="single" w:color="000000" w:sz="4" w:space="0"/>
              <w:tl2br w:val="nil"/>
              <w:tr2bl w:val="nil"/>
            </w:tcBorders>
            <w:noWrap/>
          </w:tcPr>
          <w:p w14:paraId="3DEB1C03">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建立产品放行程序，明确产品放行条件及审核、批准要求，基本按照程序规定，完成产品放行程序的，但存在不规范、不完整情形的，得2分；</w:t>
            </w:r>
          </w:p>
        </w:tc>
        <w:tc>
          <w:tcPr>
            <w:tcW w:w="810"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257440CB"/>
        </w:tc>
        <w:tc>
          <w:tcPr>
            <w:tcW w:w="810"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440DA833"/>
        </w:tc>
        <w:tc>
          <w:tcPr>
            <w:tcW w:w="783"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0A722F03"/>
        </w:tc>
      </w:tr>
      <w:tr w14:paraId="562658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0" w:hRule="atLeast"/>
          <w:jc w:val="center"/>
        </w:trPr>
        <w:tc>
          <w:tcPr>
            <w:tcW w:w="1228"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116DE438"/>
        </w:tc>
        <w:tc>
          <w:tcPr>
            <w:tcW w:w="1409"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4B0A9915"/>
        </w:tc>
        <w:tc>
          <w:tcPr>
            <w:tcW w:w="4152"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4835D548"/>
        </w:tc>
        <w:tc>
          <w:tcPr>
            <w:tcW w:w="863"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1DAE2315"/>
        </w:tc>
        <w:tc>
          <w:tcPr>
            <w:tcW w:w="5470" w:type="dxa"/>
            <w:tcBorders>
              <w:top w:val="single" w:color="000000" w:sz="4" w:space="0"/>
              <w:left w:val="single" w:color="000000" w:sz="4" w:space="0"/>
              <w:bottom w:val="single" w:color="000000" w:sz="4" w:space="0"/>
              <w:right w:val="single" w:color="000000" w:sz="4" w:space="0"/>
              <w:tl2br w:val="nil"/>
              <w:tr2bl w:val="nil"/>
            </w:tcBorders>
            <w:noWrap/>
          </w:tcPr>
          <w:p w14:paraId="0FB5EAD4">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未建立产品放行程序，或产品放行条件及审核、批准要求不明确，或未完全按照程序规定，完成产品放行程序的，不得分。</w:t>
            </w:r>
          </w:p>
        </w:tc>
        <w:tc>
          <w:tcPr>
            <w:tcW w:w="810"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7768187D"/>
        </w:tc>
        <w:tc>
          <w:tcPr>
            <w:tcW w:w="810"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7FF8F542"/>
        </w:tc>
        <w:tc>
          <w:tcPr>
            <w:tcW w:w="783"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1919137F"/>
        </w:tc>
      </w:tr>
      <w:tr w14:paraId="2A6665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0" w:hRule="atLeast"/>
          <w:jc w:val="center"/>
        </w:trPr>
        <w:tc>
          <w:tcPr>
            <w:tcW w:w="1228"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56E046F8"/>
        </w:tc>
        <w:tc>
          <w:tcPr>
            <w:tcW w:w="1409"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29498C23"/>
        </w:tc>
        <w:tc>
          <w:tcPr>
            <w:tcW w:w="4152"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6CF6BA05"/>
        </w:tc>
        <w:tc>
          <w:tcPr>
            <w:tcW w:w="863"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06ED8EBE">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2.2.2</w:t>
            </w:r>
          </w:p>
        </w:tc>
        <w:tc>
          <w:tcPr>
            <w:tcW w:w="5470" w:type="dxa"/>
            <w:tcBorders>
              <w:top w:val="single" w:color="000000" w:sz="4" w:space="0"/>
              <w:left w:val="single" w:color="000000" w:sz="4" w:space="0"/>
              <w:bottom w:val="single" w:color="000000" w:sz="4" w:space="0"/>
              <w:right w:val="single" w:color="000000" w:sz="4" w:space="0"/>
              <w:tl2br w:val="nil"/>
              <w:tr2bl w:val="nil"/>
            </w:tcBorders>
            <w:noWrap/>
          </w:tcPr>
          <w:p w14:paraId="1E08A419">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放行人员熟悉医疗器械放行标准、条件，具备良好生产质量控制能力，并经授权的，得3分；</w:t>
            </w:r>
          </w:p>
        </w:tc>
        <w:tc>
          <w:tcPr>
            <w:tcW w:w="810"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6F478CC2">
            <w:pPr>
              <w:keepNext w:val="0"/>
              <w:keepLines w:val="0"/>
              <w:pageBreakBefore w:val="0"/>
              <w:widowControl/>
              <w:suppressLineNumbers w:val="0"/>
              <w:kinsoku/>
              <w:wordWrap/>
              <w:overflowPunct/>
              <w:topLinePunct w:val="0"/>
              <w:autoSpaceDE/>
              <w:autoSpaceDN/>
              <w:bidi w:val="0"/>
              <w:adjustRightInd w:val="0"/>
              <w:snapToGrid w:val="0"/>
              <w:spacing w:line="320" w:lineRule="exact"/>
              <w:jc w:val="center"/>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3</w:t>
            </w:r>
          </w:p>
        </w:tc>
        <w:tc>
          <w:tcPr>
            <w:tcW w:w="810"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4DA33811">
            <w:pPr>
              <w:keepNext w:val="0"/>
              <w:keepLines w:val="0"/>
              <w:pageBreakBefore w:val="0"/>
              <w:widowControl/>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p>
        </w:tc>
        <w:tc>
          <w:tcPr>
            <w:tcW w:w="783"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1D2E9E3A"/>
        </w:tc>
      </w:tr>
      <w:tr w14:paraId="694647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0" w:hRule="atLeast"/>
          <w:jc w:val="center"/>
        </w:trPr>
        <w:tc>
          <w:tcPr>
            <w:tcW w:w="1228"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03D715C8"/>
        </w:tc>
        <w:tc>
          <w:tcPr>
            <w:tcW w:w="1409"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3A567246"/>
        </w:tc>
        <w:tc>
          <w:tcPr>
            <w:tcW w:w="4152"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342A349F"/>
        </w:tc>
        <w:tc>
          <w:tcPr>
            <w:tcW w:w="863"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2C88E045"/>
        </w:tc>
        <w:tc>
          <w:tcPr>
            <w:tcW w:w="5470" w:type="dxa"/>
            <w:tcBorders>
              <w:top w:val="single" w:color="000000" w:sz="4" w:space="0"/>
              <w:left w:val="single" w:color="000000" w:sz="4" w:space="0"/>
              <w:bottom w:val="single" w:color="000000" w:sz="4" w:space="0"/>
              <w:right w:val="single" w:color="000000" w:sz="4" w:space="0"/>
              <w:tl2br w:val="nil"/>
              <w:tr2bl w:val="nil"/>
            </w:tcBorders>
            <w:noWrap/>
          </w:tcPr>
          <w:p w14:paraId="51800998">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放行人员基本熟悉医疗器械放行标准、条件，基本具备生产质量控制能力，并经授权的，得2分；</w:t>
            </w:r>
          </w:p>
        </w:tc>
        <w:tc>
          <w:tcPr>
            <w:tcW w:w="810"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7483DB30"/>
        </w:tc>
        <w:tc>
          <w:tcPr>
            <w:tcW w:w="810"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0FE47CFC"/>
        </w:tc>
        <w:tc>
          <w:tcPr>
            <w:tcW w:w="783"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232AFE7A"/>
        </w:tc>
      </w:tr>
      <w:tr w14:paraId="070239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0" w:hRule="atLeast"/>
          <w:jc w:val="center"/>
        </w:trPr>
        <w:tc>
          <w:tcPr>
            <w:tcW w:w="1228"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7EC44A4D"/>
        </w:tc>
        <w:tc>
          <w:tcPr>
            <w:tcW w:w="1409"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4CF14FCE"/>
        </w:tc>
        <w:tc>
          <w:tcPr>
            <w:tcW w:w="4152"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1CCA9870"/>
        </w:tc>
        <w:tc>
          <w:tcPr>
            <w:tcW w:w="863"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240F4921"/>
        </w:tc>
        <w:tc>
          <w:tcPr>
            <w:tcW w:w="5470" w:type="dxa"/>
            <w:tcBorders>
              <w:top w:val="single" w:color="000000" w:sz="4" w:space="0"/>
              <w:left w:val="single" w:color="000000" w:sz="4" w:space="0"/>
              <w:bottom w:val="single" w:color="000000" w:sz="4" w:space="0"/>
              <w:right w:val="single" w:color="000000" w:sz="4" w:space="0"/>
              <w:tl2br w:val="nil"/>
              <w:tr2bl w:val="nil"/>
            </w:tcBorders>
            <w:noWrap/>
          </w:tcPr>
          <w:p w14:paraId="5F10437B">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放行人员不熟悉医疗器械放行标准、条件，不具备生产质量控制能力，或未经授权的，不得分。</w:t>
            </w:r>
          </w:p>
        </w:tc>
        <w:tc>
          <w:tcPr>
            <w:tcW w:w="810"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5E99F122"/>
        </w:tc>
        <w:tc>
          <w:tcPr>
            <w:tcW w:w="810"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09FF5454"/>
        </w:tc>
        <w:tc>
          <w:tcPr>
            <w:tcW w:w="783"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17E1145B"/>
        </w:tc>
      </w:tr>
      <w:tr w14:paraId="1773B0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0" w:hRule="atLeast"/>
          <w:jc w:val="center"/>
        </w:trPr>
        <w:tc>
          <w:tcPr>
            <w:tcW w:w="1228"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010F5031"/>
        </w:tc>
        <w:tc>
          <w:tcPr>
            <w:tcW w:w="1409"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62B4DF5C">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纠防措施</w:t>
            </w:r>
          </w:p>
        </w:tc>
        <w:tc>
          <w:tcPr>
            <w:tcW w:w="4152"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478B8F56">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生产企业应当建立纠正和预防措施程序。</w:t>
            </w:r>
          </w:p>
        </w:tc>
        <w:tc>
          <w:tcPr>
            <w:tcW w:w="863"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67CB8B1D">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2.3.1</w:t>
            </w:r>
          </w:p>
        </w:tc>
        <w:tc>
          <w:tcPr>
            <w:tcW w:w="5470" w:type="dxa"/>
            <w:tcBorders>
              <w:top w:val="single" w:color="000000" w:sz="4" w:space="0"/>
              <w:left w:val="single" w:color="000000" w:sz="4" w:space="0"/>
              <w:bottom w:val="single" w:color="000000" w:sz="4" w:space="0"/>
              <w:right w:val="single" w:color="000000" w:sz="4" w:space="0"/>
              <w:tl2br w:val="nil"/>
              <w:tr2bl w:val="nil"/>
            </w:tcBorders>
            <w:noWrap/>
          </w:tcPr>
          <w:p w14:paraId="394C5B00">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建立纠正和预防措施程序，有效实施风险管理，启动纠正预防措施，纠正预防措施有效，同类问题不会再次发生的，得3分；</w:t>
            </w:r>
          </w:p>
        </w:tc>
        <w:tc>
          <w:tcPr>
            <w:tcW w:w="810"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64DDE9E3">
            <w:pPr>
              <w:keepNext w:val="0"/>
              <w:keepLines w:val="0"/>
              <w:pageBreakBefore w:val="0"/>
              <w:widowControl/>
              <w:suppressLineNumbers w:val="0"/>
              <w:kinsoku/>
              <w:wordWrap/>
              <w:overflowPunct/>
              <w:topLinePunct w:val="0"/>
              <w:autoSpaceDE/>
              <w:autoSpaceDN/>
              <w:bidi w:val="0"/>
              <w:adjustRightInd w:val="0"/>
              <w:snapToGrid w:val="0"/>
              <w:spacing w:line="320" w:lineRule="exact"/>
              <w:jc w:val="center"/>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3</w:t>
            </w:r>
          </w:p>
        </w:tc>
        <w:tc>
          <w:tcPr>
            <w:tcW w:w="810"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60559939">
            <w:pPr>
              <w:keepNext w:val="0"/>
              <w:keepLines w:val="0"/>
              <w:pageBreakBefore w:val="0"/>
              <w:widowControl/>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p>
        </w:tc>
        <w:tc>
          <w:tcPr>
            <w:tcW w:w="783"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4429A866">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p>
        </w:tc>
      </w:tr>
      <w:tr w14:paraId="2E9875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0" w:hRule="atLeast"/>
          <w:jc w:val="center"/>
        </w:trPr>
        <w:tc>
          <w:tcPr>
            <w:tcW w:w="1228"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2069DA14"/>
        </w:tc>
        <w:tc>
          <w:tcPr>
            <w:tcW w:w="1409"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50083DF5"/>
        </w:tc>
        <w:tc>
          <w:tcPr>
            <w:tcW w:w="4152"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6CE87812"/>
        </w:tc>
        <w:tc>
          <w:tcPr>
            <w:tcW w:w="863"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26C10303"/>
        </w:tc>
        <w:tc>
          <w:tcPr>
            <w:tcW w:w="5470" w:type="dxa"/>
            <w:tcBorders>
              <w:top w:val="single" w:color="000000" w:sz="4" w:space="0"/>
              <w:left w:val="single" w:color="000000" w:sz="4" w:space="0"/>
              <w:bottom w:val="single" w:color="000000" w:sz="4" w:space="0"/>
              <w:right w:val="single" w:color="000000" w:sz="4" w:space="0"/>
              <w:tl2br w:val="nil"/>
              <w:tr2bl w:val="nil"/>
            </w:tcBorders>
            <w:noWrap/>
          </w:tcPr>
          <w:p w14:paraId="062981E1">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建立纠正和预防措施程序，对发现的问题，采取纠正预防措施，但未有效关闭，或不能提供有效的整改证据的，得2分；</w:t>
            </w:r>
          </w:p>
        </w:tc>
        <w:tc>
          <w:tcPr>
            <w:tcW w:w="810"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4C5EEA98"/>
        </w:tc>
        <w:tc>
          <w:tcPr>
            <w:tcW w:w="810"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609A4CC3"/>
        </w:tc>
        <w:tc>
          <w:tcPr>
            <w:tcW w:w="783"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7136752A"/>
        </w:tc>
      </w:tr>
      <w:tr w14:paraId="73ECDD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5" w:hRule="atLeast"/>
          <w:jc w:val="center"/>
        </w:trPr>
        <w:tc>
          <w:tcPr>
            <w:tcW w:w="1228"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2465EC3F"/>
        </w:tc>
        <w:tc>
          <w:tcPr>
            <w:tcW w:w="1409"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4DDBDC9E"/>
        </w:tc>
        <w:tc>
          <w:tcPr>
            <w:tcW w:w="4152"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3E80FD91"/>
        </w:tc>
        <w:tc>
          <w:tcPr>
            <w:tcW w:w="863"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4B62748F"/>
        </w:tc>
        <w:tc>
          <w:tcPr>
            <w:tcW w:w="5470" w:type="dxa"/>
            <w:tcBorders>
              <w:top w:val="single" w:color="000000" w:sz="4" w:space="0"/>
              <w:left w:val="single" w:color="000000" w:sz="4" w:space="0"/>
              <w:bottom w:val="single" w:color="000000" w:sz="4" w:space="0"/>
              <w:right w:val="single" w:color="000000" w:sz="4" w:space="0"/>
              <w:tl2br w:val="nil"/>
              <w:tr2bl w:val="nil"/>
            </w:tcBorders>
            <w:noWrap/>
          </w:tcPr>
          <w:p w14:paraId="20A459F7">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未建立纠正和预防措施程序，对发现或潜在问题，未启动纠正预防措施或纠正预防措施无效，同类问题再次发生的，不得分。</w:t>
            </w:r>
          </w:p>
        </w:tc>
        <w:tc>
          <w:tcPr>
            <w:tcW w:w="810"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1C8AF4AE"/>
        </w:tc>
        <w:tc>
          <w:tcPr>
            <w:tcW w:w="810"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5539BE19"/>
        </w:tc>
        <w:tc>
          <w:tcPr>
            <w:tcW w:w="783"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1040D495"/>
        </w:tc>
      </w:tr>
      <w:tr w14:paraId="1E3993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0" w:hRule="atLeast"/>
          <w:jc w:val="center"/>
        </w:trPr>
        <w:tc>
          <w:tcPr>
            <w:tcW w:w="1228"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6D655FED"/>
        </w:tc>
        <w:tc>
          <w:tcPr>
            <w:tcW w:w="1409"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287F626B">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不合格品控制</w:t>
            </w:r>
          </w:p>
        </w:tc>
        <w:tc>
          <w:tcPr>
            <w:tcW w:w="4152"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6BD29688">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企业应当建立不合格品控制程序并形成文件。</w:t>
            </w:r>
            <w:r>
              <w:rPr>
                <w:rFonts w:hint="eastAsia" w:ascii="方正仿宋_GBK" w:eastAsia="方正仿宋_GBK" w:cs="方正仿宋_GBK"/>
                <w:i w:val="0"/>
                <w:iCs w:val="0"/>
                <w:color w:val="auto"/>
                <w:kern w:val="0"/>
                <w:sz w:val="21"/>
                <w:szCs w:val="21"/>
                <w:u w:val="none"/>
                <w:lang w:val="en-US" w:eastAsia="zh-CN"/>
              </w:rPr>
              <w:br w:type="textWrapping"/>
            </w:r>
            <w:r>
              <w:rPr>
                <w:rFonts w:hint="eastAsia" w:ascii="方正仿宋_GBK" w:eastAsia="方正仿宋_GBK" w:cs="方正仿宋_GBK"/>
                <w:i w:val="0"/>
                <w:iCs w:val="0"/>
                <w:color w:val="auto"/>
                <w:kern w:val="0"/>
                <w:sz w:val="21"/>
                <w:szCs w:val="21"/>
                <w:u w:val="none"/>
                <w:lang w:val="en-US" w:eastAsia="zh-CN"/>
              </w:rPr>
              <w:t>不合格品可以返工的，企业应当编制返工控制文件，对返工评审（含风险评估）、验证（如有）、返工的实施、返工后产品检验或评价、放行等相关流程进行规定，保证返工操作符合规定的流程。不合格品不能返工的，企业应当建立相关处置制度或程序。</w:t>
            </w:r>
            <w:r>
              <w:rPr>
                <w:rFonts w:hint="eastAsia" w:ascii="方正仿宋_GBK" w:eastAsia="方正仿宋_GBK" w:cs="方正仿宋_GBK"/>
                <w:i w:val="0"/>
                <w:iCs w:val="0"/>
                <w:color w:val="auto"/>
                <w:kern w:val="0"/>
                <w:sz w:val="21"/>
                <w:szCs w:val="21"/>
                <w:u w:val="none"/>
                <w:lang w:val="en-US" w:eastAsia="zh-CN"/>
              </w:rPr>
              <w:br w:type="textWrapping"/>
            </w:r>
            <w:r>
              <w:rPr>
                <w:rFonts w:hint="eastAsia" w:ascii="方正仿宋_GBK" w:eastAsia="方正仿宋_GBK" w:cs="方正仿宋_GBK"/>
                <w:i w:val="0"/>
                <w:iCs w:val="0"/>
                <w:color w:val="auto"/>
                <w:kern w:val="0"/>
                <w:sz w:val="21"/>
                <w:szCs w:val="21"/>
                <w:u w:val="none"/>
                <w:lang w:val="en-US" w:eastAsia="zh-CN"/>
              </w:rPr>
              <w:t>在产品交付后发生的不合格品，企业应当按照投诉处理、不良事件监测及召回等相关管理程序进行管理。交付后的不合格品应当放置在退货或召回区域，并做好标识。</w:t>
            </w:r>
          </w:p>
        </w:tc>
        <w:tc>
          <w:tcPr>
            <w:tcW w:w="863"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3107689E">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2.4.1</w:t>
            </w:r>
          </w:p>
        </w:tc>
        <w:tc>
          <w:tcPr>
            <w:tcW w:w="5470" w:type="dxa"/>
            <w:tcBorders>
              <w:top w:val="single" w:color="000000" w:sz="4" w:space="0"/>
              <w:left w:val="single" w:color="000000" w:sz="4" w:space="0"/>
              <w:bottom w:val="single" w:color="000000" w:sz="4" w:space="0"/>
              <w:right w:val="single" w:color="000000" w:sz="4" w:space="0"/>
              <w:tl2br w:val="nil"/>
              <w:tr2bl w:val="nil"/>
            </w:tcBorders>
            <w:noWrap/>
          </w:tcPr>
          <w:p w14:paraId="2F24CF53">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建立完整有效的不合格品控制程序、返工控制文件、不合格品处置制度文件等，按照文件规定对不合格品进行正确标识、隔离、评价、处置、召回并留存相应的记录的，得4分；</w:t>
            </w:r>
          </w:p>
        </w:tc>
        <w:tc>
          <w:tcPr>
            <w:tcW w:w="810"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69DF0B82">
            <w:pPr>
              <w:keepNext w:val="0"/>
              <w:keepLines w:val="0"/>
              <w:pageBreakBefore w:val="0"/>
              <w:widowControl/>
              <w:suppressLineNumbers w:val="0"/>
              <w:kinsoku/>
              <w:wordWrap/>
              <w:overflowPunct/>
              <w:topLinePunct w:val="0"/>
              <w:autoSpaceDE/>
              <w:autoSpaceDN/>
              <w:bidi w:val="0"/>
              <w:adjustRightInd w:val="0"/>
              <w:snapToGrid w:val="0"/>
              <w:spacing w:line="320" w:lineRule="exact"/>
              <w:jc w:val="center"/>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4</w:t>
            </w:r>
          </w:p>
        </w:tc>
        <w:tc>
          <w:tcPr>
            <w:tcW w:w="810"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302AA214">
            <w:pPr>
              <w:keepNext w:val="0"/>
              <w:keepLines w:val="0"/>
              <w:pageBreakBefore w:val="0"/>
              <w:widowControl/>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p>
        </w:tc>
        <w:tc>
          <w:tcPr>
            <w:tcW w:w="783"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0A55CAB0">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p>
        </w:tc>
      </w:tr>
      <w:tr w14:paraId="6ADFDE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0" w:hRule="atLeast"/>
          <w:jc w:val="center"/>
        </w:trPr>
        <w:tc>
          <w:tcPr>
            <w:tcW w:w="1228"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40445847"/>
        </w:tc>
        <w:tc>
          <w:tcPr>
            <w:tcW w:w="1409"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33E1FC4F"/>
        </w:tc>
        <w:tc>
          <w:tcPr>
            <w:tcW w:w="4152"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7C2E2E96"/>
        </w:tc>
        <w:tc>
          <w:tcPr>
            <w:tcW w:w="863"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2AD4E4D6"/>
        </w:tc>
        <w:tc>
          <w:tcPr>
            <w:tcW w:w="5470" w:type="dxa"/>
            <w:tcBorders>
              <w:top w:val="single" w:color="000000" w:sz="4" w:space="0"/>
              <w:left w:val="single" w:color="000000" w:sz="4" w:space="0"/>
              <w:bottom w:val="single" w:color="000000" w:sz="4" w:space="0"/>
              <w:right w:val="single" w:color="000000" w:sz="4" w:space="0"/>
              <w:tl2br w:val="nil"/>
              <w:tr2bl w:val="nil"/>
            </w:tcBorders>
            <w:noWrap/>
          </w:tcPr>
          <w:p w14:paraId="40FD40AA">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建立完整的不合格品控制程序、返工控制文件、不合格品处置制度文件等，按照文件规定对不合格品进行标识、隔离、评价、处置、召回等，存在一般不规范的，得2分；</w:t>
            </w:r>
          </w:p>
        </w:tc>
        <w:tc>
          <w:tcPr>
            <w:tcW w:w="810"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6627B6B3"/>
        </w:tc>
        <w:tc>
          <w:tcPr>
            <w:tcW w:w="810"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399DC0FD"/>
        </w:tc>
        <w:tc>
          <w:tcPr>
            <w:tcW w:w="783"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16F6030C"/>
        </w:tc>
      </w:tr>
      <w:tr w14:paraId="18BCE1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0" w:hRule="atLeast"/>
          <w:jc w:val="center"/>
        </w:trPr>
        <w:tc>
          <w:tcPr>
            <w:tcW w:w="1228"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041739C5"/>
        </w:tc>
        <w:tc>
          <w:tcPr>
            <w:tcW w:w="1409"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18677051"/>
        </w:tc>
        <w:tc>
          <w:tcPr>
            <w:tcW w:w="4152"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4F66E419"/>
        </w:tc>
        <w:tc>
          <w:tcPr>
            <w:tcW w:w="863"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354138C3"/>
        </w:tc>
        <w:tc>
          <w:tcPr>
            <w:tcW w:w="5470" w:type="dxa"/>
            <w:tcBorders>
              <w:top w:val="single" w:color="000000" w:sz="4" w:space="0"/>
              <w:left w:val="single" w:color="000000" w:sz="4" w:space="0"/>
              <w:bottom w:val="single" w:color="000000" w:sz="4" w:space="0"/>
              <w:right w:val="single" w:color="000000" w:sz="4" w:space="0"/>
              <w:tl2br w:val="nil"/>
              <w:tr2bl w:val="nil"/>
            </w:tcBorders>
            <w:noWrap/>
          </w:tcPr>
          <w:p w14:paraId="49EA4DD5">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不合格品控制程序、返工控制文件、不合格品处置制度等未建立或制度建立不全，未按照文件规定对不合格品进行标识、隔离、评价、处置或处置过程中存在严重不规范的，不得分。</w:t>
            </w:r>
          </w:p>
        </w:tc>
        <w:tc>
          <w:tcPr>
            <w:tcW w:w="810"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4FAAB6A4"/>
        </w:tc>
        <w:tc>
          <w:tcPr>
            <w:tcW w:w="810"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3B042FE5"/>
        </w:tc>
        <w:tc>
          <w:tcPr>
            <w:tcW w:w="783"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796A03EF"/>
        </w:tc>
      </w:tr>
      <w:tr w14:paraId="580341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0" w:hRule="atLeast"/>
          <w:jc w:val="center"/>
        </w:trPr>
        <w:tc>
          <w:tcPr>
            <w:tcW w:w="1228"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02E1CD16"/>
        </w:tc>
        <w:tc>
          <w:tcPr>
            <w:tcW w:w="1409"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6C9AFFE1">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highlight w:val="none"/>
                <w:u w:val="none"/>
                <w:lang w:val="en-US" w:eastAsia="zh-CN"/>
              </w:rPr>
              <w:t>数据分析</w:t>
            </w:r>
          </w:p>
        </w:tc>
        <w:tc>
          <w:tcPr>
            <w:tcW w:w="4152"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3857C0C4">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企业应建立数据分析程序，规定数据来源（至少包含以下内容：产品质量、不良事件、顾客反馈等质量管理体系运行有关数据），统计分析周期，以验证产品安全性、有效性及质量体系运行情况，并保存相关记录。企业应当确保数据完整、真实，并根据数据类型及特点采用适宜的统计分析方法，企业应当依据数据统计分析结果制定对应措施或改进方向。</w:t>
            </w:r>
          </w:p>
        </w:tc>
        <w:tc>
          <w:tcPr>
            <w:tcW w:w="863"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102A06A9">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2.5.1</w:t>
            </w:r>
          </w:p>
        </w:tc>
        <w:tc>
          <w:tcPr>
            <w:tcW w:w="5470" w:type="dxa"/>
            <w:tcBorders>
              <w:top w:val="single" w:color="000000" w:sz="4" w:space="0"/>
              <w:left w:val="single" w:color="000000" w:sz="4" w:space="0"/>
              <w:bottom w:val="single" w:color="000000" w:sz="4" w:space="0"/>
              <w:right w:val="single" w:color="000000" w:sz="4" w:space="0"/>
              <w:tl2br w:val="nil"/>
              <w:tr2bl w:val="nil"/>
            </w:tcBorders>
            <w:noWrap/>
          </w:tcPr>
          <w:p w14:paraId="18B4430F">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建立数据分析程序，按文件要求定期对产品质量、不良事件、顾客反馈等质量管理体系运行有关数据进行分析统计，根据分析结果制定相应的措施及改进计划，按照计划有效实施并保留相关记录的，得4分；</w:t>
            </w:r>
          </w:p>
        </w:tc>
        <w:tc>
          <w:tcPr>
            <w:tcW w:w="810"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34C45EC0">
            <w:pPr>
              <w:keepNext w:val="0"/>
              <w:keepLines w:val="0"/>
              <w:pageBreakBefore w:val="0"/>
              <w:widowControl/>
              <w:suppressLineNumbers w:val="0"/>
              <w:kinsoku/>
              <w:wordWrap/>
              <w:overflowPunct/>
              <w:topLinePunct w:val="0"/>
              <w:autoSpaceDE/>
              <w:autoSpaceDN/>
              <w:bidi w:val="0"/>
              <w:adjustRightInd w:val="0"/>
              <w:snapToGrid w:val="0"/>
              <w:spacing w:line="320" w:lineRule="exact"/>
              <w:jc w:val="center"/>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4</w:t>
            </w:r>
          </w:p>
        </w:tc>
        <w:tc>
          <w:tcPr>
            <w:tcW w:w="810"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38D96293">
            <w:pPr>
              <w:keepNext w:val="0"/>
              <w:keepLines w:val="0"/>
              <w:pageBreakBefore w:val="0"/>
              <w:widowControl/>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p>
        </w:tc>
        <w:tc>
          <w:tcPr>
            <w:tcW w:w="783"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3A4F2CCD">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p>
        </w:tc>
      </w:tr>
      <w:tr w14:paraId="7DF609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0" w:hRule="atLeast"/>
          <w:jc w:val="center"/>
        </w:trPr>
        <w:tc>
          <w:tcPr>
            <w:tcW w:w="1228"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6B2A4EA5"/>
        </w:tc>
        <w:tc>
          <w:tcPr>
            <w:tcW w:w="1409"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07D6A153"/>
        </w:tc>
        <w:tc>
          <w:tcPr>
            <w:tcW w:w="4152"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035D68AA"/>
        </w:tc>
        <w:tc>
          <w:tcPr>
            <w:tcW w:w="863"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43CE8248"/>
        </w:tc>
        <w:tc>
          <w:tcPr>
            <w:tcW w:w="5470" w:type="dxa"/>
            <w:tcBorders>
              <w:top w:val="single" w:color="000000" w:sz="4" w:space="0"/>
              <w:left w:val="single" w:color="000000" w:sz="4" w:space="0"/>
              <w:bottom w:val="single" w:color="000000" w:sz="4" w:space="0"/>
              <w:right w:val="single" w:color="000000" w:sz="4" w:space="0"/>
              <w:tl2br w:val="nil"/>
              <w:tr2bl w:val="nil"/>
            </w:tcBorders>
            <w:noWrap/>
          </w:tcPr>
          <w:p w14:paraId="5EC56202">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建立数据分析程序，按文件要求定期对产品质量、不良事件、顾客反馈等质量管理体系运行有关数据进行分析统计，根据分析结果制定相应的措施及改进计划等存在一般不规范的，得2分；</w:t>
            </w:r>
          </w:p>
        </w:tc>
        <w:tc>
          <w:tcPr>
            <w:tcW w:w="810"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3FB0460C"/>
        </w:tc>
        <w:tc>
          <w:tcPr>
            <w:tcW w:w="810"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2B847602"/>
        </w:tc>
        <w:tc>
          <w:tcPr>
            <w:tcW w:w="783"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41F0E568"/>
        </w:tc>
      </w:tr>
      <w:tr w14:paraId="02738A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0" w:hRule="atLeast"/>
          <w:jc w:val="center"/>
        </w:trPr>
        <w:tc>
          <w:tcPr>
            <w:tcW w:w="1228"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6B7A663A"/>
        </w:tc>
        <w:tc>
          <w:tcPr>
            <w:tcW w:w="1409"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0B230698"/>
        </w:tc>
        <w:tc>
          <w:tcPr>
            <w:tcW w:w="4152"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1EE28648"/>
        </w:tc>
        <w:tc>
          <w:tcPr>
            <w:tcW w:w="863"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2F09BDB9"/>
        </w:tc>
        <w:tc>
          <w:tcPr>
            <w:tcW w:w="5470" w:type="dxa"/>
            <w:tcBorders>
              <w:top w:val="single" w:color="000000" w:sz="4" w:space="0"/>
              <w:left w:val="single" w:color="000000" w:sz="4" w:space="0"/>
              <w:bottom w:val="single" w:color="000000" w:sz="4" w:space="0"/>
              <w:right w:val="single" w:color="000000" w:sz="4" w:space="0"/>
              <w:tl2br w:val="nil"/>
              <w:tr2bl w:val="nil"/>
            </w:tcBorders>
            <w:noWrap/>
          </w:tcPr>
          <w:p w14:paraId="466FE800">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未建立数据分析相关制度文件或文件建立不全面，或未按要求对数据进行统计分析并保留相关记录的，不得分。</w:t>
            </w:r>
          </w:p>
        </w:tc>
        <w:tc>
          <w:tcPr>
            <w:tcW w:w="810"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40258E27"/>
        </w:tc>
        <w:tc>
          <w:tcPr>
            <w:tcW w:w="810"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0026FDBA"/>
        </w:tc>
        <w:tc>
          <w:tcPr>
            <w:tcW w:w="783"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60F38EB9"/>
        </w:tc>
      </w:tr>
      <w:tr w14:paraId="477AA3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5" w:hRule="atLeast"/>
          <w:jc w:val="center"/>
        </w:trPr>
        <w:tc>
          <w:tcPr>
            <w:tcW w:w="1228" w:type="dxa"/>
            <w:vMerge w:val="continue"/>
            <w:tcBorders>
              <w:top w:val="single" w:color="000000" w:sz="4" w:space="0"/>
              <w:left w:val="single" w:color="000000" w:sz="4" w:space="0"/>
              <w:bottom w:val="single" w:color="000000" w:sz="4" w:space="0"/>
              <w:right w:val="single" w:color="000000" w:sz="4" w:space="0"/>
              <w:tl2br w:val="nil"/>
              <w:tr2bl w:val="nil"/>
            </w:tcBorders>
            <w:shd w:val="clear" w:color="auto" w:fill="auto"/>
            <w:noWrap/>
            <w:vAlign w:val="center"/>
          </w:tcPr>
          <w:p w14:paraId="2B217AED"/>
        </w:tc>
        <w:tc>
          <w:tcPr>
            <w:tcW w:w="1409" w:type="dxa"/>
            <w:vMerge w:val="restart"/>
            <w:tcBorders>
              <w:top w:val="single" w:color="000000" w:sz="4" w:space="0"/>
              <w:left w:val="single" w:color="000000" w:sz="4" w:space="0"/>
              <w:bottom w:val="single" w:color="000000" w:sz="4" w:space="0"/>
              <w:right w:val="single" w:color="000000" w:sz="4" w:space="0"/>
              <w:tl2br w:val="nil"/>
              <w:tr2bl w:val="nil"/>
            </w:tcBorders>
            <w:shd w:val="clear" w:color="auto" w:fill="FFFFFF"/>
            <w:noWrap/>
            <w:vAlign w:val="center"/>
          </w:tcPr>
          <w:p w14:paraId="485AFB06">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委托生产</w:t>
            </w:r>
          </w:p>
        </w:tc>
        <w:tc>
          <w:tcPr>
            <w:tcW w:w="4152" w:type="dxa"/>
            <w:vMerge w:val="restart"/>
            <w:tcBorders>
              <w:top w:val="single" w:color="000000" w:sz="4" w:space="0"/>
              <w:left w:val="single" w:color="000000" w:sz="4" w:space="0"/>
              <w:bottom w:val="single" w:color="000000" w:sz="4" w:space="0"/>
              <w:right w:val="single" w:color="000000" w:sz="4" w:space="0"/>
              <w:tl2br w:val="nil"/>
              <w:tr2bl w:val="nil"/>
            </w:tcBorders>
            <w:noWrap/>
          </w:tcPr>
          <w:p w14:paraId="113F0023">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医疗器械注册人、备案人委托生产的，应当按照国家药品监督管理局制定的医疗器械委托生产质量协议指南要求，由企业负责人或者其授权人签订质量协议以及委托协议，不得通过协议转移依法应当由注册人、备案人履行的义务和责任。委托生产前，医疗器械注册人、备案人的管理者代表应当组织对受托生产企业质量保证能力和风险管理能力进行评估，委托生产后，应当对所委托生产的医疗器械质量负责，并加强对受托生产企业生产行为的管理，保证其按照法定要求进行生产；定期组织对受托生产企业质量管理体系进行现场审核，并确保双方质量管理体系有效衔接。</w:t>
            </w:r>
            <w:r>
              <w:rPr>
                <w:rFonts w:hint="eastAsia" w:ascii="方正仿宋_GBK" w:eastAsia="方正仿宋_GBK" w:cs="方正仿宋_GBK"/>
                <w:i w:val="0"/>
                <w:iCs w:val="0"/>
                <w:color w:val="auto"/>
                <w:kern w:val="0"/>
                <w:sz w:val="21"/>
                <w:szCs w:val="21"/>
                <w:u w:val="none"/>
                <w:lang w:val="en-US" w:eastAsia="zh-CN"/>
              </w:rPr>
              <w:br w:type="textWrapping"/>
            </w:r>
            <w:r>
              <w:rPr>
                <w:rFonts w:hint="eastAsia" w:ascii="方正仿宋_GBK" w:eastAsia="方正仿宋_GBK" w:cs="方正仿宋_GBK"/>
                <w:i w:val="0"/>
                <w:iCs w:val="0"/>
                <w:color w:val="auto"/>
                <w:kern w:val="0"/>
                <w:sz w:val="21"/>
                <w:szCs w:val="21"/>
                <w:u w:val="none"/>
                <w:lang w:val="en-US" w:eastAsia="zh-CN"/>
              </w:rPr>
              <w:t>受托生产企业应当依照法律法规、医疗器械生产质量管理规范、强制性标准、产品技术要求和委托协议组织生产，对生产行为负责，积极接受注册人、备案人的审核和监督，并及时采取纠正和预防措施落实其整改要求。受托生产的产品不得再次委托生产。</w:t>
            </w:r>
          </w:p>
        </w:tc>
        <w:tc>
          <w:tcPr>
            <w:tcW w:w="863"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176A21A5">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2.6.1</w:t>
            </w:r>
          </w:p>
        </w:tc>
        <w:tc>
          <w:tcPr>
            <w:tcW w:w="5470" w:type="dxa"/>
            <w:tcBorders>
              <w:top w:val="single" w:color="000000" w:sz="4" w:space="0"/>
              <w:left w:val="single" w:color="000000" w:sz="4" w:space="0"/>
              <w:bottom w:val="single" w:color="000000" w:sz="4" w:space="0"/>
              <w:right w:val="single" w:color="000000" w:sz="4" w:space="0"/>
              <w:tl2br w:val="nil"/>
              <w:tr2bl w:val="nil"/>
            </w:tcBorders>
            <w:noWrap/>
          </w:tcPr>
          <w:p w14:paraId="6F51B043">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按照国家药品监督管理局制定的医疗器械委托生产质量协议指南要求，签订质量协议以及委托协议，双方权责明确，协议形式有效、结构合理、具有可操作性且内容真实完整的，得3分；</w:t>
            </w:r>
          </w:p>
        </w:tc>
        <w:tc>
          <w:tcPr>
            <w:tcW w:w="810"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0DD8BE77">
            <w:pPr>
              <w:keepNext w:val="0"/>
              <w:keepLines w:val="0"/>
              <w:pageBreakBefore w:val="0"/>
              <w:widowControl/>
              <w:suppressLineNumbers w:val="0"/>
              <w:kinsoku/>
              <w:wordWrap/>
              <w:overflowPunct/>
              <w:topLinePunct w:val="0"/>
              <w:autoSpaceDE/>
              <w:autoSpaceDN/>
              <w:bidi w:val="0"/>
              <w:adjustRightInd w:val="0"/>
              <w:snapToGrid w:val="0"/>
              <w:spacing w:line="320" w:lineRule="exact"/>
              <w:jc w:val="center"/>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3</w:t>
            </w:r>
          </w:p>
        </w:tc>
        <w:tc>
          <w:tcPr>
            <w:tcW w:w="810"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1C68BDC0">
            <w:pPr>
              <w:keepNext w:val="0"/>
              <w:keepLines w:val="0"/>
              <w:pageBreakBefore w:val="0"/>
              <w:widowControl/>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p>
        </w:tc>
        <w:tc>
          <w:tcPr>
            <w:tcW w:w="783"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6AE701E8">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p>
        </w:tc>
      </w:tr>
      <w:tr w14:paraId="22EC9C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0" w:hRule="atLeast"/>
          <w:jc w:val="center"/>
        </w:trPr>
        <w:tc>
          <w:tcPr>
            <w:tcW w:w="1228" w:type="dxa"/>
            <w:vMerge w:val="continue"/>
            <w:tcBorders>
              <w:top w:val="single" w:color="000000" w:sz="4" w:space="0"/>
              <w:left w:val="single" w:color="000000" w:sz="4" w:space="0"/>
              <w:bottom w:val="single" w:color="000000" w:sz="4" w:space="0"/>
              <w:right w:val="single" w:color="000000" w:sz="4" w:space="0"/>
              <w:tl2br w:val="nil"/>
              <w:tr2bl w:val="nil"/>
            </w:tcBorders>
            <w:shd w:val="clear" w:color="auto" w:fill="auto"/>
            <w:noWrap/>
            <w:vAlign w:val="center"/>
          </w:tcPr>
          <w:p w14:paraId="2A793E90"/>
        </w:tc>
        <w:tc>
          <w:tcPr>
            <w:tcW w:w="1409" w:type="dxa"/>
            <w:vMerge w:val="continue"/>
            <w:tcBorders>
              <w:top w:val="single" w:color="000000" w:sz="4" w:space="0"/>
              <w:left w:val="single" w:color="000000" w:sz="4" w:space="0"/>
              <w:bottom w:val="single" w:color="000000" w:sz="4" w:space="0"/>
              <w:right w:val="single" w:color="000000" w:sz="4" w:space="0"/>
              <w:tl2br w:val="nil"/>
              <w:tr2bl w:val="nil"/>
            </w:tcBorders>
            <w:shd w:val="clear" w:color="auto" w:fill="FFFFFF"/>
            <w:noWrap/>
            <w:vAlign w:val="center"/>
          </w:tcPr>
          <w:p w14:paraId="4074E7A0"/>
        </w:tc>
        <w:tc>
          <w:tcPr>
            <w:tcW w:w="4152" w:type="dxa"/>
            <w:vMerge w:val="continue"/>
            <w:tcBorders>
              <w:top w:val="single" w:color="000000" w:sz="4" w:space="0"/>
              <w:left w:val="single" w:color="000000" w:sz="4" w:space="0"/>
              <w:bottom w:val="single" w:color="000000" w:sz="4" w:space="0"/>
              <w:right w:val="single" w:color="000000" w:sz="4" w:space="0"/>
              <w:tl2br w:val="nil"/>
              <w:tr2bl w:val="nil"/>
            </w:tcBorders>
            <w:noWrap/>
          </w:tcPr>
          <w:p w14:paraId="579CF615"/>
        </w:tc>
        <w:tc>
          <w:tcPr>
            <w:tcW w:w="863"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11E5669B"/>
        </w:tc>
        <w:tc>
          <w:tcPr>
            <w:tcW w:w="5470" w:type="dxa"/>
            <w:tcBorders>
              <w:top w:val="single" w:color="000000" w:sz="4" w:space="0"/>
              <w:left w:val="single" w:color="000000" w:sz="4" w:space="0"/>
              <w:bottom w:val="single" w:color="000000" w:sz="4" w:space="0"/>
              <w:right w:val="single" w:color="000000" w:sz="4" w:space="0"/>
              <w:tl2br w:val="nil"/>
              <w:tr2bl w:val="nil"/>
            </w:tcBorders>
            <w:noWrap/>
          </w:tcPr>
          <w:p w14:paraId="6DFC6B7D">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按照国家药品监督管理局制定的医疗器械委托生产质量协议指南要求，签订质量协议以及委托协议，双方权责明确，协议内容真实完整的，但协议与企业实际不完全一致的，得2分；</w:t>
            </w:r>
          </w:p>
        </w:tc>
        <w:tc>
          <w:tcPr>
            <w:tcW w:w="810"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751676FF"/>
        </w:tc>
        <w:tc>
          <w:tcPr>
            <w:tcW w:w="810"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64937CBE"/>
        </w:tc>
        <w:tc>
          <w:tcPr>
            <w:tcW w:w="783"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2F1C8587"/>
        </w:tc>
      </w:tr>
      <w:tr w14:paraId="7B3B15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0" w:hRule="atLeast"/>
          <w:jc w:val="center"/>
        </w:trPr>
        <w:tc>
          <w:tcPr>
            <w:tcW w:w="1228" w:type="dxa"/>
            <w:vMerge w:val="continue"/>
            <w:tcBorders>
              <w:top w:val="single" w:color="000000" w:sz="4" w:space="0"/>
              <w:left w:val="single" w:color="000000" w:sz="4" w:space="0"/>
              <w:bottom w:val="single" w:color="000000" w:sz="4" w:space="0"/>
              <w:right w:val="single" w:color="000000" w:sz="4" w:space="0"/>
              <w:tl2br w:val="nil"/>
              <w:tr2bl w:val="nil"/>
            </w:tcBorders>
            <w:shd w:val="clear" w:color="auto" w:fill="auto"/>
            <w:noWrap/>
            <w:vAlign w:val="center"/>
          </w:tcPr>
          <w:p w14:paraId="1D87038C"/>
        </w:tc>
        <w:tc>
          <w:tcPr>
            <w:tcW w:w="1409" w:type="dxa"/>
            <w:vMerge w:val="continue"/>
            <w:tcBorders>
              <w:top w:val="single" w:color="000000" w:sz="4" w:space="0"/>
              <w:left w:val="single" w:color="000000" w:sz="4" w:space="0"/>
              <w:bottom w:val="single" w:color="000000" w:sz="4" w:space="0"/>
              <w:right w:val="single" w:color="000000" w:sz="4" w:space="0"/>
              <w:tl2br w:val="nil"/>
              <w:tr2bl w:val="nil"/>
            </w:tcBorders>
            <w:shd w:val="clear" w:color="auto" w:fill="FFFFFF"/>
            <w:noWrap/>
            <w:vAlign w:val="center"/>
          </w:tcPr>
          <w:p w14:paraId="06DFBB13"/>
        </w:tc>
        <w:tc>
          <w:tcPr>
            <w:tcW w:w="4152" w:type="dxa"/>
            <w:vMerge w:val="continue"/>
            <w:tcBorders>
              <w:top w:val="single" w:color="000000" w:sz="4" w:space="0"/>
              <w:left w:val="single" w:color="000000" w:sz="4" w:space="0"/>
              <w:bottom w:val="single" w:color="000000" w:sz="4" w:space="0"/>
              <w:right w:val="single" w:color="000000" w:sz="4" w:space="0"/>
              <w:tl2br w:val="nil"/>
              <w:tr2bl w:val="nil"/>
            </w:tcBorders>
            <w:noWrap/>
          </w:tcPr>
          <w:p w14:paraId="6FEAF303"/>
        </w:tc>
        <w:tc>
          <w:tcPr>
            <w:tcW w:w="863"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5867864D"/>
        </w:tc>
        <w:tc>
          <w:tcPr>
            <w:tcW w:w="5470" w:type="dxa"/>
            <w:tcBorders>
              <w:top w:val="single" w:color="000000" w:sz="4" w:space="0"/>
              <w:left w:val="single" w:color="000000" w:sz="4" w:space="0"/>
              <w:bottom w:val="single" w:color="000000" w:sz="4" w:space="0"/>
              <w:right w:val="single" w:color="000000" w:sz="4" w:space="0"/>
              <w:tl2br w:val="nil"/>
              <w:tr2bl w:val="nil"/>
            </w:tcBorders>
            <w:noWrap/>
          </w:tcPr>
          <w:p w14:paraId="3239F936">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未按照要求签订质量协议以及委托协议、质量协议以及委托协议内容不全，或通过协议转移义务和责任的，或协议与企业实际不一致的，不得分。</w:t>
            </w:r>
          </w:p>
        </w:tc>
        <w:tc>
          <w:tcPr>
            <w:tcW w:w="810"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41EBDEB7"/>
        </w:tc>
        <w:tc>
          <w:tcPr>
            <w:tcW w:w="810"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06B5BB00"/>
        </w:tc>
        <w:tc>
          <w:tcPr>
            <w:tcW w:w="783"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6FD5C1ED"/>
        </w:tc>
      </w:tr>
      <w:tr w14:paraId="2424F0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0" w:hRule="atLeast"/>
          <w:jc w:val="center"/>
        </w:trPr>
        <w:tc>
          <w:tcPr>
            <w:tcW w:w="1228" w:type="dxa"/>
            <w:vMerge w:val="continue"/>
            <w:tcBorders>
              <w:top w:val="single" w:color="000000" w:sz="4" w:space="0"/>
              <w:left w:val="single" w:color="000000" w:sz="4" w:space="0"/>
              <w:bottom w:val="single" w:color="000000" w:sz="4" w:space="0"/>
              <w:right w:val="single" w:color="000000" w:sz="4" w:space="0"/>
              <w:tl2br w:val="nil"/>
              <w:tr2bl w:val="nil"/>
            </w:tcBorders>
            <w:shd w:val="clear" w:color="auto" w:fill="auto"/>
            <w:noWrap/>
            <w:vAlign w:val="center"/>
          </w:tcPr>
          <w:p w14:paraId="53C0C3AA"/>
        </w:tc>
        <w:tc>
          <w:tcPr>
            <w:tcW w:w="1409" w:type="dxa"/>
            <w:vMerge w:val="continue"/>
            <w:tcBorders>
              <w:top w:val="single" w:color="000000" w:sz="4" w:space="0"/>
              <w:left w:val="single" w:color="000000" w:sz="4" w:space="0"/>
              <w:bottom w:val="single" w:color="000000" w:sz="4" w:space="0"/>
              <w:right w:val="single" w:color="000000" w:sz="4" w:space="0"/>
              <w:tl2br w:val="nil"/>
              <w:tr2bl w:val="nil"/>
            </w:tcBorders>
            <w:shd w:val="clear" w:color="auto" w:fill="FFFFFF"/>
            <w:noWrap/>
            <w:vAlign w:val="center"/>
          </w:tcPr>
          <w:p w14:paraId="7EC321A9"/>
        </w:tc>
        <w:tc>
          <w:tcPr>
            <w:tcW w:w="4152" w:type="dxa"/>
            <w:vMerge w:val="continue"/>
            <w:tcBorders>
              <w:top w:val="single" w:color="000000" w:sz="4" w:space="0"/>
              <w:left w:val="single" w:color="000000" w:sz="4" w:space="0"/>
              <w:bottom w:val="single" w:color="000000" w:sz="4" w:space="0"/>
              <w:right w:val="single" w:color="000000" w:sz="4" w:space="0"/>
              <w:tl2br w:val="nil"/>
              <w:tr2bl w:val="nil"/>
            </w:tcBorders>
            <w:noWrap/>
          </w:tcPr>
          <w:p w14:paraId="2E55B4AB"/>
        </w:tc>
        <w:tc>
          <w:tcPr>
            <w:tcW w:w="863"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46DBE893">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2.6.2</w:t>
            </w:r>
          </w:p>
        </w:tc>
        <w:tc>
          <w:tcPr>
            <w:tcW w:w="5470" w:type="dxa"/>
            <w:tcBorders>
              <w:top w:val="single" w:color="000000" w:sz="4" w:space="0"/>
              <w:left w:val="single" w:color="000000" w:sz="4" w:space="0"/>
              <w:bottom w:val="single" w:color="000000" w:sz="4" w:space="0"/>
              <w:right w:val="single" w:color="000000" w:sz="4" w:space="0"/>
              <w:tl2br w:val="nil"/>
              <w:tr2bl w:val="nil"/>
            </w:tcBorders>
            <w:noWrap/>
          </w:tcPr>
          <w:p w14:paraId="1D8AEA4E">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委托生产前，医疗器械注册人、备案人的管理者代表组织对受托生产企业质量保证能力和风险管理能力进行评估并留有相关评估记录的，得3分；</w:t>
            </w:r>
          </w:p>
        </w:tc>
        <w:tc>
          <w:tcPr>
            <w:tcW w:w="810"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0EEDF2D0">
            <w:pPr>
              <w:keepNext w:val="0"/>
              <w:keepLines w:val="0"/>
              <w:pageBreakBefore w:val="0"/>
              <w:widowControl/>
              <w:suppressLineNumbers w:val="0"/>
              <w:kinsoku/>
              <w:wordWrap/>
              <w:overflowPunct/>
              <w:topLinePunct w:val="0"/>
              <w:autoSpaceDE/>
              <w:autoSpaceDN/>
              <w:bidi w:val="0"/>
              <w:adjustRightInd w:val="0"/>
              <w:snapToGrid w:val="0"/>
              <w:spacing w:line="320" w:lineRule="exact"/>
              <w:jc w:val="center"/>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3</w:t>
            </w:r>
          </w:p>
        </w:tc>
        <w:tc>
          <w:tcPr>
            <w:tcW w:w="810"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30D43D57">
            <w:pPr>
              <w:keepNext w:val="0"/>
              <w:keepLines w:val="0"/>
              <w:pageBreakBefore w:val="0"/>
              <w:widowControl/>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p>
        </w:tc>
        <w:tc>
          <w:tcPr>
            <w:tcW w:w="783"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5381F520"/>
        </w:tc>
      </w:tr>
      <w:tr w14:paraId="3DDF2A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0" w:hRule="atLeast"/>
          <w:jc w:val="center"/>
        </w:trPr>
        <w:tc>
          <w:tcPr>
            <w:tcW w:w="1228" w:type="dxa"/>
            <w:vMerge w:val="continue"/>
            <w:tcBorders>
              <w:top w:val="single" w:color="000000" w:sz="4" w:space="0"/>
              <w:left w:val="single" w:color="000000" w:sz="4" w:space="0"/>
              <w:bottom w:val="single" w:color="000000" w:sz="4" w:space="0"/>
              <w:right w:val="single" w:color="000000" w:sz="4" w:space="0"/>
              <w:tl2br w:val="nil"/>
              <w:tr2bl w:val="nil"/>
            </w:tcBorders>
            <w:shd w:val="clear" w:color="auto" w:fill="auto"/>
            <w:noWrap/>
            <w:vAlign w:val="center"/>
          </w:tcPr>
          <w:p w14:paraId="1FFE5600"/>
        </w:tc>
        <w:tc>
          <w:tcPr>
            <w:tcW w:w="1409" w:type="dxa"/>
            <w:vMerge w:val="continue"/>
            <w:tcBorders>
              <w:top w:val="single" w:color="000000" w:sz="4" w:space="0"/>
              <w:left w:val="single" w:color="000000" w:sz="4" w:space="0"/>
              <w:bottom w:val="single" w:color="000000" w:sz="4" w:space="0"/>
              <w:right w:val="single" w:color="000000" w:sz="4" w:space="0"/>
              <w:tl2br w:val="nil"/>
              <w:tr2bl w:val="nil"/>
            </w:tcBorders>
            <w:shd w:val="clear" w:color="auto" w:fill="FFFFFF"/>
            <w:noWrap/>
            <w:vAlign w:val="center"/>
          </w:tcPr>
          <w:p w14:paraId="166F0934"/>
        </w:tc>
        <w:tc>
          <w:tcPr>
            <w:tcW w:w="4152" w:type="dxa"/>
            <w:vMerge w:val="continue"/>
            <w:tcBorders>
              <w:top w:val="single" w:color="000000" w:sz="4" w:space="0"/>
              <w:left w:val="single" w:color="000000" w:sz="4" w:space="0"/>
              <w:bottom w:val="single" w:color="000000" w:sz="4" w:space="0"/>
              <w:right w:val="single" w:color="000000" w:sz="4" w:space="0"/>
              <w:tl2br w:val="nil"/>
              <w:tr2bl w:val="nil"/>
            </w:tcBorders>
            <w:noWrap/>
          </w:tcPr>
          <w:p w14:paraId="06812F24"/>
        </w:tc>
        <w:tc>
          <w:tcPr>
            <w:tcW w:w="863"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0D2AC983"/>
        </w:tc>
        <w:tc>
          <w:tcPr>
            <w:tcW w:w="5470" w:type="dxa"/>
            <w:tcBorders>
              <w:top w:val="single" w:color="000000" w:sz="4" w:space="0"/>
              <w:left w:val="single" w:color="000000" w:sz="4" w:space="0"/>
              <w:bottom w:val="single" w:color="000000" w:sz="4" w:space="0"/>
              <w:right w:val="single" w:color="000000" w:sz="4" w:space="0"/>
              <w:tl2br w:val="nil"/>
              <w:tr2bl w:val="nil"/>
            </w:tcBorders>
            <w:noWrap/>
          </w:tcPr>
          <w:p w14:paraId="2451F628">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委托生产前，医疗器械注册人、备案人的管理者代表组织对受托生产企业质量保证能力和风险管理能力进行评估，但评估项目或记录不完整的，得2分；</w:t>
            </w:r>
          </w:p>
        </w:tc>
        <w:tc>
          <w:tcPr>
            <w:tcW w:w="810"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7BE8F958"/>
        </w:tc>
        <w:tc>
          <w:tcPr>
            <w:tcW w:w="810"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55F0E4EF"/>
        </w:tc>
        <w:tc>
          <w:tcPr>
            <w:tcW w:w="783"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3996F4A2"/>
        </w:tc>
      </w:tr>
      <w:tr w14:paraId="08C127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0" w:hRule="atLeast"/>
          <w:jc w:val="center"/>
        </w:trPr>
        <w:tc>
          <w:tcPr>
            <w:tcW w:w="1228" w:type="dxa"/>
            <w:vMerge w:val="continue"/>
            <w:tcBorders>
              <w:top w:val="single" w:color="000000" w:sz="4" w:space="0"/>
              <w:left w:val="single" w:color="000000" w:sz="4" w:space="0"/>
              <w:bottom w:val="single" w:color="000000" w:sz="4" w:space="0"/>
              <w:right w:val="single" w:color="000000" w:sz="4" w:space="0"/>
              <w:tl2br w:val="nil"/>
              <w:tr2bl w:val="nil"/>
            </w:tcBorders>
            <w:shd w:val="clear" w:color="auto" w:fill="auto"/>
            <w:noWrap/>
            <w:vAlign w:val="center"/>
          </w:tcPr>
          <w:p w14:paraId="01B4E064"/>
        </w:tc>
        <w:tc>
          <w:tcPr>
            <w:tcW w:w="1409" w:type="dxa"/>
            <w:vMerge w:val="continue"/>
            <w:tcBorders>
              <w:top w:val="single" w:color="000000" w:sz="4" w:space="0"/>
              <w:left w:val="single" w:color="000000" w:sz="4" w:space="0"/>
              <w:bottom w:val="single" w:color="000000" w:sz="4" w:space="0"/>
              <w:right w:val="single" w:color="000000" w:sz="4" w:space="0"/>
              <w:tl2br w:val="nil"/>
              <w:tr2bl w:val="nil"/>
            </w:tcBorders>
            <w:shd w:val="clear" w:color="auto" w:fill="FFFFFF"/>
            <w:noWrap/>
            <w:vAlign w:val="center"/>
          </w:tcPr>
          <w:p w14:paraId="5D6C67B3"/>
        </w:tc>
        <w:tc>
          <w:tcPr>
            <w:tcW w:w="4152" w:type="dxa"/>
            <w:vMerge w:val="continue"/>
            <w:tcBorders>
              <w:top w:val="single" w:color="000000" w:sz="4" w:space="0"/>
              <w:left w:val="single" w:color="000000" w:sz="4" w:space="0"/>
              <w:bottom w:val="single" w:color="000000" w:sz="4" w:space="0"/>
              <w:right w:val="single" w:color="000000" w:sz="4" w:space="0"/>
              <w:tl2br w:val="nil"/>
              <w:tr2bl w:val="nil"/>
            </w:tcBorders>
            <w:noWrap/>
          </w:tcPr>
          <w:p w14:paraId="405B862E"/>
        </w:tc>
        <w:tc>
          <w:tcPr>
            <w:tcW w:w="863"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6EC34837"/>
        </w:tc>
        <w:tc>
          <w:tcPr>
            <w:tcW w:w="5470" w:type="dxa"/>
            <w:tcBorders>
              <w:top w:val="single" w:color="000000" w:sz="4" w:space="0"/>
              <w:left w:val="single" w:color="000000" w:sz="4" w:space="0"/>
              <w:bottom w:val="single" w:color="000000" w:sz="4" w:space="0"/>
              <w:right w:val="single" w:color="000000" w:sz="4" w:space="0"/>
              <w:tl2br w:val="nil"/>
              <w:tr2bl w:val="nil"/>
            </w:tcBorders>
            <w:noWrap/>
          </w:tcPr>
          <w:p w14:paraId="0F60467F">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委托生产前，医疗器械注册人、备案人未对受托生产企业质量保证能力和风险管理能力进行综合评估，或无相关评估记录的，不得分。</w:t>
            </w:r>
          </w:p>
        </w:tc>
        <w:tc>
          <w:tcPr>
            <w:tcW w:w="810"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4F9DA9BB"/>
        </w:tc>
        <w:tc>
          <w:tcPr>
            <w:tcW w:w="810"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4DFC67D5"/>
        </w:tc>
        <w:tc>
          <w:tcPr>
            <w:tcW w:w="783"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12316C7C"/>
        </w:tc>
      </w:tr>
      <w:tr w14:paraId="32AA2F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0" w:hRule="atLeast"/>
          <w:jc w:val="center"/>
        </w:trPr>
        <w:tc>
          <w:tcPr>
            <w:tcW w:w="1228" w:type="dxa"/>
            <w:vMerge w:val="continue"/>
            <w:tcBorders>
              <w:top w:val="single" w:color="000000" w:sz="4" w:space="0"/>
              <w:left w:val="single" w:color="000000" w:sz="4" w:space="0"/>
              <w:bottom w:val="single" w:color="000000" w:sz="4" w:space="0"/>
              <w:right w:val="single" w:color="000000" w:sz="4" w:space="0"/>
              <w:tl2br w:val="nil"/>
              <w:tr2bl w:val="nil"/>
            </w:tcBorders>
            <w:shd w:val="clear" w:color="auto" w:fill="auto"/>
            <w:noWrap/>
            <w:vAlign w:val="center"/>
          </w:tcPr>
          <w:p w14:paraId="5FBE7776"/>
        </w:tc>
        <w:tc>
          <w:tcPr>
            <w:tcW w:w="1409" w:type="dxa"/>
            <w:vMerge w:val="continue"/>
            <w:tcBorders>
              <w:top w:val="single" w:color="000000" w:sz="4" w:space="0"/>
              <w:left w:val="single" w:color="000000" w:sz="4" w:space="0"/>
              <w:bottom w:val="single" w:color="000000" w:sz="4" w:space="0"/>
              <w:right w:val="single" w:color="000000" w:sz="4" w:space="0"/>
              <w:tl2br w:val="nil"/>
              <w:tr2bl w:val="nil"/>
            </w:tcBorders>
            <w:shd w:val="clear" w:color="auto" w:fill="FFFFFF"/>
            <w:noWrap/>
            <w:vAlign w:val="center"/>
          </w:tcPr>
          <w:p w14:paraId="66D9CD15"/>
        </w:tc>
        <w:tc>
          <w:tcPr>
            <w:tcW w:w="4152" w:type="dxa"/>
            <w:vMerge w:val="continue"/>
            <w:tcBorders>
              <w:top w:val="single" w:color="000000" w:sz="4" w:space="0"/>
              <w:left w:val="single" w:color="000000" w:sz="4" w:space="0"/>
              <w:bottom w:val="single" w:color="000000" w:sz="4" w:space="0"/>
              <w:right w:val="single" w:color="000000" w:sz="4" w:space="0"/>
              <w:tl2br w:val="nil"/>
              <w:tr2bl w:val="nil"/>
            </w:tcBorders>
            <w:noWrap/>
          </w:tcPr>
          <w:p w14:paraId="26344430"/>
        </w:tc>
        <w:tc>
          <w:tcPr>
            <w:tcW w:w="863"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511CB9FC">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2.6.3</w:t>
            </w:r>
          </w:p>
        </w:tc>
        <w:tc>
          <w:tcPr>
            <w:tcW w:w="5470" w:type="dxa"/>
            <w:tcBorders>
              <w:top w:val="single" w:color="000000" w:sz="4" w:space="0"/>
              <w:left w:val="single" w:color="000000" w:sz="4" w:space="0"/>
              <w:bottom w:val="single" w:color="000000" w:sz="4" w:space="0"/>
              <w:right w:val="single" w:color="000000" w:sz="4" w:space="0"/>
              <w:tl2br w:val="nil"/>
              <w:tr2bl w:val="nil"/>
            </w:tcBorders>
            <w:noWrap/>
          </w:tcPr>
          <w:p w14:paraId="6B55C346">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委托生产后，制定现场审核制度，每年对受托生产企业质量管理体系进行现场审核次数不少于1次，现场审核报告内容全面、记录准确完整的，得3分；</w:t>
            </w:r>
          </w:p>
        </w:tc>
        <w:tc>
          <w:tcPr>
            <w:tcW w:w="810"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470CD220">
            <w:pPr>
              <w:keepNext w:val="0"/>
              <w:keepLines w:val="0"/>
              <w:pageBreakBefore w:val="0"/>
              <w:widowControl/>
              <w:suppressLineNumbers w:val="0"/>
              <w:kinsoku/>
              <w:wordWrap/>
              <w:overflowPunct/>
              <w:topLinePunct w:val="0"/>
              <w:autoSpaceDE/>
              <w:autoSpaceDN/>
              <w:bidi w:val="0"/>
              <w:adjustRightInd w:val="0"/>
              <w:snapToGrid w:val="0"/>
              <w:spacing w:line="320" w:lineRule="exact"/>
              <w:jc w:val="center"/>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3</w:t>
            </w:r>
          </w:p>
        </w:tc>
        <w:tc>
          <w:tcPr>
            <w:tcW w:w="810"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5583E326">
            <w:pPr>
              <w:keepNext w:val="0"/>
              <w:keepLines w:val="0"/>
              <w:pageBreakBefore w:val="0"/>
              <w:widowControl/>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p>
        </w:tc>
        <w:tc>
          <w:tcPr>
            <w:tcW w:w="783"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7831D74F"/>
        </w:tc>
      </w:tr>
      <w:tr w14:paraId="5FD437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0" w:hRule="atLeast"/>
          <w:jc w:val="center"/>
        </w:trPr>
        <w:tc>
          <w:tcPr>
            <w:tcW w:w="1228" w:type="dxa"/>
            <w:vMerge w:val="continue"/>
            <w:tcBorders>
              <w:top w:val="single" w:color="000000" w:sz="4" w:space="0"/>
              <w:left w:val="single" w:color="000000" w:sz="4" w:space="0"/>
              <w:bottom w:val="single" w:color="000000" w:sz="4" w:space="0"/>
              <w:right w:val="single" w:color="000000" w:sz="4" w:space="0"/>
              <w:tl2br w:val="nil"/>
              <w:tr2bl w:val="nil"/>
            </w:tcBorders>
            <w:shd w:val="clear" w:color="auto" w:fill="auto"/>
            <w:noWrap/>
            <w:vAlign w:val="center"/>
          </w:tcPr>
          <w:p w14:paraId="70E45023"/>
        </w:tc>
        <w:tc>
          <w:tcPr>
            <w:tcW w:w="1409" w:type="dxa"/>
            <w:vMerge w:val="continue"/>
            <w:tcBorders>
              <w:top w:val="single" w:color="000000" w:sz="4" w:space="0"/>
              <w:left w:val="single" w:color="000000" w:sz="4" w:space="0"/>
              <w:bottom w:val="single" w:color="000000" w:sz="4" w:space="0"/>
              <w:right w:val="single" w:color="000000" w:sz="4" w:space="0"/>
              <w:tl2br w:val="nil"/>
              <w:tr2bl w:val="nil"/>
            </w:tcBorders>
            <w:shd w:val="clear" w:color="auto" w:fill="FFFFFF"/>
            <w:noWrap/>
            <w:vAlign w:val="center"/>
          </w:tcPr>
          <w:p w14:paraId="76D54527"/>
        </w:tc>
        <w:tc>
          <w:tcPr>
            <w:tcW w:w="4152" w:type="dxa"/>
            <w:vMerge w:val="continue"/>
            <w:tcBorders>
              <w:top w:val="single" w:color="000000" w:sz="4" w:space="0"/>
              <w:left w:val="single" w:color="000000" w:sz="4" w:space="0"/>
              <w:bottom w:val="single" w:color="000000" w:sz="4" w:space="0"/>
              <w:right w:val="single" w:color="000000" w:sz="4" w:space="0"/>
              <w:tl2br w:val="nil"/>
              <w:tr2bl w:val="nil"/>
            </w:tcBorders>
            <w:noWrap/>
          </w:tcPr>
          <w:p w14:paraId="069C1228"/>
        </w:tc>
        <w:tc>
          <w:tcPr>
            <w:tcW w:w="863"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081D4D3F"/>
        </w:tc>
        <w:tc>
          <w:tcPr>
            <w:tcW w:w="5470" w:type="dxa"/>
            <w:tcBorders>
              <w:top w:val="single" w:color="000000" w:sz="4" w:space="0"/>
              <w:left w:val="single" w:color="000000" w:sz="4" w:space="0"/>
              <w:bottom w:val="single" w:color="000000" w:sz="4" w:space="0"/>
              <w:right w:val="single" w:color="000000" w:sz="4" w:space="0"/>
              <w:tl2br w:val="nil"/>
              <w:tr2bl w:val="nil"/>
            </w:tcBorders>
            <w:noWrap/>
          </w:tcPr>
          <w:p w14:paraId="4922E82F">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委托生产后，制定现场审核制度，每年对受托生产企业质量管理体系进行现场审核次数不少于1次，现场审核报告内容、记录不全面、完整的，得2分；</w:t>
            </w:r>
          </w:p>
        </w:tc>
        <w:tc>
          <w:tcPr>
            <w:tcW w:w="810"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4B6751CA"/>
        </w:tc>
        <w:tc>
          <w:tcPr>
            <w:tcW w:w="810"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54F93C79"/>
        </w:tc>
        <w:tc>
          <w:tcPr>
            <w:tcW w:w="783"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414858D8"/>
        </w:tc>
      </w:tr>
      <w:tr w14:paraId="1AE0E4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0" w:hRule="atLeast"/>
          <w:jc w:val="center"/>
        </w:trPr>
        <w:tc>
          <w:tcPr>
            <w:tcW w:w="1228" w:type="dxa"/>
            <w:vMerge w:val="continue"/>
            <w:tcBorders>
              <w:top w:val="single" w:color="000000" w:sz="4" w:space="0"/>
              <w:left w:val="single" w:color="000000" w:sz="4" w:space="0"/>
              <w:bottom w:val="single" w:color="000000" w:sz="4" w:space="0"/>
              <w:right w:val="single" w:color="000000" w:sz="4" w:space="0"/>
              <w:tl2br w:val="nil"/>
              <w:tr2bl w:val="nil"/>
            </w:tcBorders>
            <w:shd w:val="clear" w:color="auto" w:fill="auto"/>
            <w:noWrap/>
            <w:vAlign w:val="center"/>
          </w:tcPr>
          <w:p w14:paraId="6A1CF783"/>
        </w:tc>
        <w:tc>
          <w:tcPr>
            <w:tcW w:w="1409" w:type="dxa"/>
            <w:vMerge w:val="continue"/>
            <w:tcBorders>
              <w:top w:val="single" w:color="000000" w:sz="4" w:space="0"/>
              <w:left w:val="single" w:color="000000" w:sz="4" w:space="0"/>
              <w:bottom w:val="single" w:color="000000" w:sz="4" w:space="0"/>
              <w:right w:val="single" w:color="000000" w:sz="4" w:space="0"/>
              <w:tl2br w:val="nil"/>
              <w:tr2bl w:val="nil"/>
            </w:tcBorders>
            <w:shd w:val="clear" w:color="auto" w:fill="FFFFFF"/>
            <w:noWrap/>
            <w:vAlign w:val="center"/>
          </w:tcPr>
          <w:p w14:paraId="3382B414"/>
        </w:tc>
        <w:tc>
          <w:tcPr>
            <w:tcW w:w="4152" w:type="dxa"/>
            <w:vMerge w:val="continue"/>
            <w:tcBorders>
              <w:top w:val="single" w:color="000000" w:sz="4" w:space="0"/>
              <w:left w:val="single" w:color="000000" w:sz="4" w:space="0"/>
              <w:bottom w:val="single" w:color="000000" w:sz="4" w:space="0"/>
              <w:right w:val="single" w:color="000000" w:sz="4" w:space="0"/>
              <w:tl2br w:val="nil"/>
              <w:tr2bl w:val="nil"/>
            </w:tcBorders>
            <w:noWrap/>
          </w:tcPr>
          <w:p w14:paraId="5EE4ADD7"/>
        </w:tc>
        <w:tc>
          <w:tcPr>
            <w:tcW w:w="863"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09EA2FA8"/>
        </w:tc>
        <w:tc>
          <w:tcPr>
            <w:tcW w:w="5470" w:type="dxa"/>
            <w:tcBorders>
              <w:top w:val="single" w:color="000000" w:sz="4" w:space="0"/>
              <w:left w:val="single" w:color="000000" w:sz="4" w:space="0"/>
              <w:bottom w:val="single" w:color="000000" w:sz="4" w:space="0"/>
              <w:right w:val="single" w:color="000000" w:sz="4" w:space="0"/>
              <w:tl2br w:val="nil"/>
              <w:tr2bl w:val="nil"/>
            </w:tcBorders>
            <w:noWrap/>
          </w:tcPr>
          <w:p w14:paraId="06643EE9">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委托生产后，未制定现场审核制度，或</w:t>
            </w:r>
            <w:r>
              <w:rPr>
                <w:rStyle w:val="6"/>
                <w:rFonts w:ascii="方正仿宋_GBK" w:eastAsia="方正仿宋_GBK" w:cs="方正仿宋_GBK"/>
                <w:color w:val="auto"/>
                <w:kern w:val="0"/>
                <w:sz w:val="21"/>
                <w:szCs w:val="21"/>
                <w:lang w:val="en-US" w:eastAsia="zh-CN"/>
              </w:rPr>
              <w:t>年内未</w:t>
            </w:r>
            <w:r>
              <w:rPr>
                <w:rStyle w:val="7"/>
                <w:rFonts w:ascii="方正仿宋_GBK" w:eastAsia="方正仿宋_GBK" w:cs="方正仿宋_GBK"/>
                <w:color w:val="auto"/>
                <w:kern w:val="0"/>
                <w:sz w:val="21"/>
                <w:szCs w:val="21"/>
                <w:lang w:val="en-US" w:eastAsia="zh-CN"/>
              </w:rPr>
              <w:t>对受托生产企业质量管理体系进行现场审核的，不得分。</w:t>
            </w:r>
          </w:p>
        </w:tc>
        <w:tc>
          <w:tcPr>
            <w:tcW w:w="810"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4D234155"/>
        </w:tc>
        <w:tc>
          <w:tcPr>
            <w:tcW w:w="810"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4BCF10C6"/>
        </w:tc>
        <w:tc>
          <w:tcPr>
            <w:tcW w:w="783"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0DDA3E94"/>
        </w:tc>
      </w:tr>
      <w:tr w14:paraId="53B06E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0" w:hRule="atLeast"/>
          <w:jc w:val="center"/>
        </w:trPr>
        <w:tc>
          <w:tcPr>
            <w:tcW w:w="1228" w:type="dxa"/>
            <w:vMerge w:val="continue"/>
            <w:tcBorders>
              <w:top w:val="single" w:color="000000" w:sz="4" w:space="0"/>
              <w:left w:val="single" w:color="000000" w:sz="4" w:space="0"/>
              <w:bottom w:val="single" w:color="000000" w:sz="4" w:space="0"/>
              <w:right w:val="single" w:color="000000" w:sz="4" w:space="0"/>
              <w:tl2br w:val="nil"/>
              <w:tr2bl w:val="nil"/>
            </w:tcBorders>
            <w:shd w:val="clear" w:color="auto" w:fill="auto"/>
            <w:noWrap/>
            <w:vAlign w:val="center"/>
          </w:tcPr>
          <w:p w14:paraId="3F1EA127"/>
        </w:tc>
        <w:tc>
          <w:tcPr>
            <w:tcW w:w="1409" w:type="dxa"/>
            <w:vMerge w:val="continue"/>
            <w:tcBorders>
              <w:top w:val="single" w:color="000000" w:sz="4" w:space="0"/>
              <w:left w:val="single" w:color="000000" w:sz="4" w:space="0"/>
              <w:bottom w:val="single" w:color="000000" w:sz="4" w:space="0"/>
              <w:right w:val="single" w:color="000000" w:sz="4" w:space="0"/>
              <w:tl2br w:val="nil"/>
              <w:tr2bl w:val="nil"/>
            </w:tcBorders>
            <w:shd w:val="clear" w:color="auto" w:fill="FFFFFF"/>
            <w:noWrap/>
            <w:vAlign w:val="center"/>
          </w:tcPr>
          <w:p w14:paraId="0EEEA10D"/>
        </w:tc>
        <w:tc>
          <w:tcPr>
            <w:tcW w:w="4152" w:type="dxa"/>
            <w:vMerge w:val="continue"/>
            <w:tcBorders>
              <w:top w:val="single" w:color="000000" w:sz="4" w:space="0"/>
              <w:left w:val="single" w:color="000000" w:sz="4" w:space="0"/>
              <w:bottom w:val="single" w:color="000000" w:sz="4" w:space="0"/>
              <w:right w:val="single" w:color="000000" w:sz="4" w:space="0"/>
              <w:tl2br w:val="nil"/>
              <w:tr2bl w:val="nil"/>
            </w:tcBorders>
            <w:noWrap/>
          </w:tcPr>
          <w:p w14:paraId="7F332DBC"/>
        </w:tc>
        <w:tc>
          <w:tcPr>
            <w:tcW w:w="863"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5FDCA8E8">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2.6.4</w:t>
            </w:r>
          </w:p>
        </w:tc>
        <w:tc>
          <w:tcPr>
            <w:tcW w:w="5470" w:type="dxa"/>
            <w:tcBorders>
              <w:top w:val="single" w:color="000000" w:sz="4" w:space="0"/>
              <w:left w:val="single" w:color="000000" w:sz="4" w:space="0"/>
              <w:bottom w:val="single" w:color="000000" w:sz="4" w:space="0"/>
              <w:right w:val="single" w:color="000000" w:sz="4" w:space="0"/>
              <w:tl2br w:val="nil"/>
              <w:tr2bl w:val="nil"/>
            </w:tcBorders>
            <w:noWrap/>
          </w:tcPr>
          <w:p w14:paraId="0FC348DC">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受托生产企业按要求组织生产，积极接受注册人、备案人的审核和监督，及时采取纠正和预防措施落实其整改要求，并留有相关记录的，得3分；</w:t>
            </w:r>
          </w:p>
        </w:tc>
        <w:tc>
          <w:tcPr>
            <w:tcW w:w="810"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215A84B5">
            <w:pPr>
              <w:keepNext w:val="0"/>
              <w:keepLines w:val="0"/>
              <w:pageBreakBefore w:val="0"/>
              <w:widowControl/>
              <w:suppressLineNumbers w:val="0"/>
              <w:kinsoku/>
              <w:wordWrap/>
              <w:overflowPunct/>
              <w:topLinePunct w:val="0"/>
              <w:autoSpaceDE/>
              <w:autoSpaceDN/>
              <w:bidi w:val="0"/>
              <w:adjustRightInd w:val="0"/>
              <w:snapToGrid w:val="0"/>
              <w:spacing w:line="320" w:lineRule="exact"/>
              <w:jc w:val="center"/>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3</w:t>
            </w:r>
          </w:p>
        </w:tc>
        <w:tc>
          <w:tcPr>
            <w:tcW w:w="810"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65AEA0B0">
            <w:pPr>
              <w:keepNext w:val="0"/>
              <w:keepLines w:val="0"/>
              <w:pageBreakBefore w:val="0"/>
              <w:widowControl/>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p>
        </w:tc>
        <w:tc>
          <w:tcPr>
            <w:tcW w:w="783"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450A4D81"/>
        </w:tc>
      </w:tr>
      <w:tr w14:paraId="53CFDB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0" w:hRule="atLeast"/>
          <w:jc w:val="center"/>
        </w:trPr>
        <w:tc>
          <w:tcPr>
            <w:tcW w:w="1228" w:type="dxa"/>
            <w:vMerge w:val="continue"/>
            <w:tcBorders>
              <w:top w:val="single" w:color="000000" w:sz="4" w:space="0"/>
              <w:left w:val="single" w:color="000000" w:sz="4" w:space="0"/>
              <w:bottom w:val="single" w:color="000000" w:sz="4" w:space="0"/>
              <w:right w:val="single" w:color="000000" w:sz="4" w:space="0"/>
              <w:tl2br w:val="nil"/>
              <w:tr2bl w:val="nil"/>
            </w:tcBorders>
            <w:shd w:val="clear" w:color="auto" w:fill="auto"/>
            <w:noWrap/>
            <w:vAlign w:val="center"/>
          </w:tcPr>
          <w:p w14:paraId="19520889"/>
        </w:tc>
        <w:tc>
          <w:tcPr>
            <w:tcW w:w="1409" w:type="dxa"/>
            <w:vMerge w:val="continue"/>
            <w:tcBorders>
              <w:top w:val="single" w:color="000000" w:sz="4" w:space="0"/>
              <w:left w:val="single" w:color="000000" w:sz="4" w:space="0"/>
              <w:bottom w:val="single" w:color="000000" w:sz="4" w:space="0"/>
              <w:right w:val="single" w:color="000000" w:sz="4" w:space="0"/>
              <w:tl2br w:val="nil"/>
              <w:tr2bl w:val="nil"/>
            </w:tcBorders>
            <w:shd w:val="clear" w:color="auto" w:fill="FFFFFF"/>
            <w:noWrap/>
            <w:vAlign w:val="center"/>
          </w:tcPr>
          <w:p w14:paraId="4E843BC7"/>
        </w:tc>
        <w:tc>
          <w:tcPr>
            <w:tcW w:w="4152" w:type="dxa"/>
            <w:vMerge w:val="continue"/>
            <w:tcBorders>
              <w:top w:val="single" w:color="000000" w:sz="4" w:space="0"/>
              <w:left w:val="single" w:color="000000" w:sz="4" w:space="0"/>
              <w:bottom w:val="single" w:color="000000" w:sz="4" w:space="0"/>
              <w:right w:val="single" w:color="000000" w:sz="4" w:space="0"/>
              <w:tl2br w:val="nil"/>
              <w:tr2bl w:val="nil"/>
            </w:tcBorders>
            <w:noWrap/>
          </w:tcPr>
          <w:p w14:paraId="2E216FC3"/>
        </w:tc>
        <w:tc>
          <w:tcPr>
            <w:tcW w:w="863"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58539F99"/>
        </w:tc>
        <w:tc>
          <w:tcPr>
            <w:tcW w:w="5470" w:type="dxa"/>
            <w:tcBorders>
              <w:top w:val="single" w:color="000000" w:sz="4" w:space="0"/>
              <w:left w:val="single" w:color="000000" w:sz="4" w:space="0"/>
              <w:bottom w:val="single" w:color="000000" w:sz="4" w:space="0"/>
              <w:right w:val="single" w:color="000000" w:sz="4" w:space="0"/>
              <w:tl2br w:val="nil"/>
              <w:tr2bl w:val="nil"/>
            </w:tcBorders>
            <w:noWrap/>
          </w:tcPr>
          <w:p w14:paraId="0CF08160">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受托生产企业按要求组织生产，积极接受注册人、备案人的审核和监督，及时采取纠正和预防措施落实其整改要求，但整改或记录存在不充分、全面的，得2分；</w:t>
            </w:r>
          </w:p>
        </w:tc>
        <w:tc>
          <w:tcPr>
            <w:tcW w:w="810"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496D620A"/>
        </w:tc>
        <w:tc>
          <w:tcPr>
            <w:tcW w:w="810"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03493110"/>
        </w:tc>
        <w:tc>
          <w:tcPr>
            <w:tcW w:w="783"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483108E7"/>
        </w:tc>
      </w:tr>
      <w:tr w14:paraId="2C88BE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0" w:hRule="atLeast"/>
          <w:jc w:val="center"/>
        </w:trPr>
        <w:tc>
          <w:tcPr>
            <w:tcW w:w="1228" w:type="dxa"/>
            <w:vMerge w:val="continue"/>
            <w:tcBorders>
              <w:top w:val="single" w:color="000000" w:sz="4" w:space="0"/>
              <w:left w:val="single" w:color="000000" w:sz="4" w:space="0"/>
              <w:bottom w:val="single" w:color="000000" w:sz="4" w:space="0"/>
              <w:right w:val="single" w:color="000000" w:sz="4" w:space="0"/>
              <w:tl2br w:val="nil"/>
              <w:tr2bl w:val="nil"/>
            </w:tcBorders>
            <w:shd w:val="clear" w:color="auto" w:fill="auto"/>
            <w:noWrap/>
            <w:vAlign w:val="center"/>
          </w:tcPr>
          <w:p w14:paraId="5AB589FB"/>
        </w:tc>
        <w:tc>
          <w:tcPr>
            <w:tcW w:w="1409" w:type="dxa"/>
            <w:vMerge w:val="continue"/>
            <w:tcBorders>
              <w:top w:val="single" w:color="000000" w:sz="4" w:space="0"/>
              <w:left w:val="single" w:color="000000" w:sz="4" w:space="0"/>
              <w:bottom w:val="single" w:color="000000" w:sz="4" w:space="0"/>
              <w:right w:val="single" w:color="000000" w:sz="4" w:space="0"/>
              <w:tl2br w:val="nil"/>
              <w:tr2bl w:val="nil"/>
            </w:tcBorders>
            <w:shd w:val="clear" w:color="auto" w:fill="FFFFFF"/>
            <w:noWrap/>
            <w:vAlign w:val="center"/>
          </w:tcPr>
          <w:p w14:paraId="3D3E5A0D"/>
        </w:tc>
        <w:tc>
          <w:tcPr>
            <w:tcW w:w="4152" w:type="dxa"/>
            <w:vMerge w:val="continue"/>
            <w:tcBorders>
              <w:top w:val="single" w:color="000000" w:sz="4" w:space="0"/>
              <w:left w:val="single" w:color="000000" w:sz="4" w:space="0"/>
              <w:bottom w:val="single" w:color="000000" w:sz="4" w:space="0"/>
              <w:right w:val="single" w:color="000000" w:sz="4" w:space="0"/>
              <w:tl2br w:val="nil"/>
              <w:tr2bl w:val="nil"/>
            </w:tcBorders>
            <w:noWrap/>
          </w:tcPr>
          <w:p w14:paraId="065B6185"/>
        </w:tc>
        <w:tc>
          <w:tcPr>
            <w:tcW w:w="863"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6BEE4D53"/>
        </w:tc>
        <w:tc>
          <w:tcPr>
            <w:tcW w:w="5470" w:type="dxa"/>
            <w:tcBorders>
              <w:top w:val="single" w:color="000000" w:sz="4" w:space="0"/>
              <w:left w:val="single" w:color="000000" w:sz="4" w:space="0"/>
              <w:bottom w:val="single" w:color="000000" w:sz="4" w:space="0"/>
              <w:right w:val="single" w:color="000000" w:sz="4" w:space="0"/>
              <w:tl2br w:val="nil"/>
              <w:tr2bl w:val="nil"/>
            </w:tcBorders>
            <w:noWrap/>
          </w:tcPr>
          <w:p w14:paraId="2F3E0773">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受托生产企业不能按要求，严格组织生产，或无正当理由不配合接受注册人、备案人的审核和监督的，或将受托产品进行再次委托的，不得分。</w:t>
            </w:r>
          </w:p>
        </w:tc>
        <w:tc>
          <w:tcPr>
            <w:tcW w:w="810"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42AC13AD"/>
        </w:tc>
        <w:tc>
          <w:tcPr>
            <w:tcW w:w="810"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14F6AE73"/>
        </w:tc>
        <w:tc>
          <w:tcPr>
            <w:tcW w:w="783"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54835AD7"/>
        </w:tc>
      </w:tr>
      <w:tr w14:paraId="25920B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0" w:hRule="atLeast"/>
          <w:jc w:val="center"/>
        </w:trPr>
        <w:tc>
          <w:tcPr>
            <w:tcW w:w="1228" w:type="dxa"/>
            <w:vMerge w:val="continue"/>
            <w:tcBorders>
              <w:top w:val="single" w:color="000000" w:sz="4" w:space="0"/>
              <w:left w:val="single" w:color="000000" w:sz="4" w:space="0"/>
              <w:bottom w:val="single" w:color="000000" w:sz="4" w:space="0"/>
              <w:right w:val="single" w:color="000000" w:sz="4" w:space="0"/>
              <w:tl2br w:val="nil"/>
              <w:tr2bl w:val="nil"/>
            </w:tcBorders>
            <w:shd w:val="clear" w:color="auto" w:fill="auto"/>
            <w:noWrap/>
            <w:vAlign w:val="center"/>
          </w:tcPr>
          <w:p w14:paraId="39183C8F"/>
        </w:tc>
        <w:tc>
          <w:tcPr>
            <w:tcW w:w="1409" w:type="dxa"/>
            <w:vMerge w:val="continue"/>
            <w:tcBorders>
              <w:top w:val="single" w:color="000000" w:sz="4" w:space="0"/>
              <w:left w:val="single" w:color="000000" w:sz="4" w:space="0"/>
              <w:bottom w:val="single" w:color="000000" w:sz="4" w:space="0"/>
              <w:right w:val="single" w:color="000000" w:sz="4" w:space="0"/>
              <w:tl2br w:val="nil"/>
              <w:tr2bl w:val="nil"/>
            </w:tcBorders>
            <w:shd w:val="clear" w:color="auto" w:fill="FFFFFF"/>
            <w:noWrap/>
            <w:vAlign w:val="center"/>
          </w:tcPr>
          <w:p w14:paraId="598B8037"/>
        </w:tc>
        <w:tc>
          <w:tcPr>
            <w:tcW w:w="4152"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555B2A10">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生产企业应当建立产品放行程序，明确产品放行条件及审核、批准要求。</w:t>
            </w:r>
            <w:r>
              <w:rPr>
                <w:rFonts w:hint="eastAsia" w:ascii="方正仿宋_GBK" w:eastAsia="方正仿宋_GBK" w:cs="方正仿宋_GBK"/>
                <w:i w:val="0"/>
                <w:iCs w:val="0"/>
                <w:color w:val="auto"/>
                <w:kern w:val="0"/>
                <w:sz w:val="21"/>
                <w:szCs w:val="21"/>
                <w:u w:val="none"/>
                <w:lang w:val="en-US" w:eastAsia="zh-CN"/>
              </w:rPr>
              <w:br w:type="textWrapping"/>
            </w:r>
            <w:r>
              <w:rPr>
                <w:rFonts w:hint="eastAsia" w:ascii="方正仿宋_GBK" w:eastAsia="方正仿宋_GBK" w:cs="方正仿宋_GBK"/>
                <w:i w:val="0"/>
                <w:iCs w:val="0"/>
                <w:color w:val="auto"/>
                <w:kern w:val="0"/>
                <w:sz w:val="21"/>
                <w:szCs w:val="21"/>
                <w:u w:val="none"/>
                <w:lang w:val="en-US" w:eastAsia="zh-CN"/>
              </w:rPr>
              <w:t>注册人、备案人应当建立产品上市放行规程，由质量管理部门负责人组织对医疗器械生产过程记录和质量检验结果进行审核。产品上市放行不得委托受托生产企业进行。</w:t>
            </w:r>
            <w:r>
              <w:rPr>
                <w:rFonts w:hint="eastAsia" w:ascii="方正仿宋_GBK" w:eastAsia="方正仿宋_GBK" w:cs="方正仿宋_GBK"/>
                <w:i w:val="0"/>
                <w:iCs w:val="0"/>
                <w:color w:val="auto"/>
                <w:kern w:val="0"/>
                <w:sz w:val="21"/>
                <w:szCs w:val="21"/>
                <w:u w:val="none"/>
                <w:lang w:val="en-US" w:eastAsia="zh-CN"/>
              </w:rPr>
              <w:br w:type="textWrapping"/>
            </w:r>
            <w:r>
              <w:rPr>
                <w:rFonts w:hint="eastAsia" w:ascii="方正仿宋_GBK" w:eastAsia="方正仿宋_GBK" w:cs="方正仿宋_GBK"/>
                <w:i w:val="0"/>
                <w:iCs w:val="0"/>
                <w:color w:val="auto"/>
                <w:kern w:val="0"/>
                <w:sz w:val="21"/>
                <w:szCs w:val="21"/>
                <w:u w:val="none"/>
                <w:lang w:val="en-US" w:eastAsia="zh-CN"/>
              </w:rPr>
              <w:t>受托生产企业应当建立生产放行规程，由质量管理部门负责人组织对医疗器械生产过程进行审核，对产品进行检验。</w:t>
            </w:r>
          </w:p>
        </w:tc>
        <w:tc>
          <w:tcPr>
            <w:tcW w:w="863"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0C07642B">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2.6.5</w:t>
            </w:r>
          </w:p>
        </w:tc>
        <w:tc>
          <w:tcPr>
            <w:tcW w:w="5470" w:type="dxa"/>
            <w:tcBorders>
              <w:top w:val="single" w:color="000000" w:sz="4" w:space="0"/>
              <w:left w:val="single" w:color="000000" w:sz="4" w:space="0"/>
              <w:bottom w:val="single" w:color="000000" w:sz="4" w:space="0"/>
              <w:right w:val="single" w:color="000000" w:sz="4" w:space="0"/>
              <w:tl2br w:val="nil"/>
              <w:tr2bl w:val="nil"/>
            </w:tcBorders>
            <w:noWrap/>
          </w:tcPr>
          <w:p w14:paraId="2D9DBF7E">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受托生产企业进行生产放行，对生产过程进行审核和检验且相关记录完整可追溯，注册人、备案人完成产品上市放行，明确授权放行人，对受托生产放行文件审核且相关记录完整可追溯的，得3分；</w:t>
            </w:r>
          </w:p>
        </w:tc>
        <w:tc>
          <w:tcPr>
            <w:tcW w:w="810"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2A6533E0">
            <w:pPr>
              <w:keepNext w:val="0"/>
              <w:keepLines w:val="0"/>
              <w:pageBreakBefore w:val="0"/>
              <w:widowControl/>
              <w:suppressLineNumbers w:val="0"/>
              <w:kinsoku/>
              <w:wordWrap/>
              <w:overflowPunct/>
              <w:topLinePunct w:val="0"/>
              <w:autoSpaceDE/>
              <w:autoSpaceDN/>
              <w:bidi w:val="0"/>
              <w:adjustRightInd w:val="0"/>
              <w:snapToGrid w:val="0"/>
              <w:spacing w:line="320" w:lineRule="exact"/>
              <w:jc w:val="center"/>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3</w:t>
            </w:r>
          </w:p>
        </w:tc>
        <w:tc>
          <w:tcPr>
            <w:tcW w:w="810"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431CB576">
            <w:pPr>
              <w:keepNext w:val="0"/>
              <w:keepLines w:val="0"/>
              <w:pageBreakBefore w:val="0"/>
              <w:widowControl/>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p>
        </w:tc>
        <w:tc>
          <w:tcPr>
            <w:tcW w:w="783"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3AB657EF">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p>
        </w:tc>
      </w:tr>
      <w:tr w14:paraId="556752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0" w:hRule="atLeast"/>
          <w:jc w:val="center"/>
        </w:trPr>
        <w:tc>
          <w:tcPr>
            <w:tcW w:w="1228" w:type="dxa"/>
            <w:vMerge w:val="continue"/>
            <w:tcBorders>
              <w:top w:val="single" w:color="000000" w:sz="4" w:space="0"/>
              <w:left w:val="single" w:color="000000" w:sz="4" w:space="0"/>
              <w:bottom w:val="single" w:color="000000" w:sz="4" w:space="0"/>
              <w:right w:val="single" w:color="000000" w:sz="4" w:space="0"/>
              <w:tl2br w:val="nil"/>
              <w:tr2bl w:val="nil"/>
            </w:tcBorders>
            <w:shd w:val="clear" w:color="auto" w:fill="auto"/>
            <w:noWrap/>
            <w:vAlign w:val="center"/>
          </w:tcPr>
          <w:p w14:paraId="26568A94"/>
        </w:tc>
        <w:tc>
          <w:tcPr>
            <w:tcW w:w="1409" w:type="dxa"/>
            <w:vMerge w:val="continue"/>
            <w:tcBorders>
              <w:top w:val="single" w:color="000000" w:sz="4" w:space="0"/>
              <w:left w:val="single" w:color="000000" w:sz="4" w:space="0"/>
              <w:bottom w:val="single" w:color="000000" w:sz="4" w:space="0"/>
              <w:right w:val="single" w:color="000000" w:sz="4" w:space="0"/>
              <w:tl2br w:val="nil"/>
              <w:tr2bl w:val="nil"/>
            </w:tcBorders>
            <w:shd w:val="clear" w:color="auto" w:fill="FFFFFF"/>
            <w:noWrap/>
            <w:vAlign w:val="center"/>
          </w:tcPr>
          <w:p w14:paraId="532CE6E5"/>
        </w:tc>
        <w:tc>
          <w:tcPr>
            <w:tcW w:w="4152"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4A1EEA7E"/>
        </w:tc>
        <w:tc>
          <w:tcPr>
            <w:tcW w:w="863"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5FF376DB"/>
        </w:tc>
        <w:tc>
          <w:tcPr>
            <w:tcW w:w="5470" w:type="dxa"/>
            <w:tcBorders>
              <w:top w:val="single" w:color="000000" w:sz="4" w:space="0"/>
              <w:left w:val="single" w:color="000000" w:sz="4" w:space="0"/>
              <w:bottom w:val="single" w:color="000000" w:sz="4" w:space="0"/>
              <w:right w:val="single" w:color="000000" w:sz="4" w:space="0"/>
              <w:tl2br w:val="nil"/>
              <w:tr2bl w:val="nil"/>
            </w:tcBorders>
            <w:noWrap/>
          </w:tcPr>
          <w:p w14:paraId="1D456F26">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受托生产企业进行生产放行，对生产过程进行审核和检验，注册人、备案人完成产品上市放行，对受托生产生产放行文件审核，但相关记录不够完整的，得2分；</w:t>
            </w:r>
          </w:p>
        </w:tc>
        <w:tc>
          <w:tcPr>
            <w:tcW w:w="810"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0388B703"/>
        </w:tc>
        <w:tc>
          <w:tcPr>
            <w:tcW w:w="810"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5463953B"/>
        </w:tc>
        <w:tc>
          <w:tcPr>
            <w:tcW w:w="783"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58EDFED0"/>
        </w:tc>
      </w:tr>
      <w:tr w14:paraId="1440EF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1228" w:type="dxa"/>
            <w:vMerge w:val="continue"/>
            <w:tcBorders>
              <w:top w:val="single" w:color="000000" w:sz="4" w:space="0"/>
              <w:left w:val="single" w:color="000000" w:sz="4" w:space="0"/>
              <w:bottom w:val="single" w:color="000000" w:sz="4" w:space="0"/>
              <w:right w:val="single" w:color="000000" w:sz="4" w:space="0"/>
              <w:tl2br w:val="nil"/>
              <w:tr2bl w:val="nil"/>
            </w:tcBorders>
            <w:shd w:val="clear" w:color="auto" w:fill="auto"/>
            <w:noWrap/>
            <w:vAlign w:val="center"/>
          </w:tcPr>
          <w:p w14:paraId="2F2136CA"/>
        </w:tc>
        <w:tc>
          <w:tcPr>
            <w:tcW w:w="1409" w:type="dxa"/>
            <w:vMerge w:val="continue"/>
            <w:tcBorders>
              <w:top w:val="single" w:color="000000" w:sz="4" w:space="0"/>
              <w:left w:val="single" w:color="000000" w:sz="4" w:space="0"/>
              <w:bottom w:val="single" w:color="000000" w:sz="4" w:space="0"/>
              <w:right w:val="single" w:color="000000" w:sz="4" w:space="0"/>
              <w:tl2br w:val="nil"/>
              <w:tr2bl w:val="nil"/>
            </w:tcBorders>
            <w:shd w:val="clear" w:color="auto" w:fill="FFFFFF"/>
            <w:noWrap/>
            <w:vAlign w:val="center"/>
          </w:tcPr>
          <w:p w14:paraId="0E87AC4B"/>
        </w:tc>
        <w:tc>
          <w:tcPr>
            <w:tcW w:w="4152"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65F6C9AC"/>
        </w:tc>
        <w:tc>
          <w:tcPr>
            <w:tcW w:w="863"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004DD613"/>
        </w:tc>
        <w:tc>
          <w:tcPr>
            <w:tcW w:w="5470" w:type="dxa"/>
            <w:tcBorders>
              <w:top w:val="single" w:color="000000" w:sz="4" w:space="0"/>
              <w:left w:val="single" w:color="000000" w:sz="4" w:space="0"/>
              <w:bottom w:val="single" w:color="000000" w:sz="4" w:space="0"/>
              <w:right w:val="single" w:color="000000" w:sz="4" w:space="0"/>
              <w:tl2br w:val="nil"/>
              <w:tr2bl w:val="nil"/>
            </w:tcBorders>
            <w:noWrap/>
          </w:tcPr>
          <w:p w14:paraId="44808637">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未建立产品放行程序，或未按程序要求进行放行的，不得分。</w:t>
            </w:r>
          </w:p>
        </w:tc>
        <w:tc>
          <w:tcPr>
            <w:tcW w:w="810"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4BBFDB53"/>
        </w:tc>
        <w:tc>
          <w:tcPr>
            <w:tcW w:w="810"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128022B0"/>
        </w:tc>
        <w:tc>
          <w:tcPr>
            <w:tcW w:w="783"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0E140AFF"/>
        </w:tc>
      </w:tr>
      <w:tr w14:paraId="37F23F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0" w:hRule="atLeast"/>
          <w:jc w:val="center"/>
        </w:trPr>
        <w:tc>
          <w:tcPr>
            <w:tcW w:w="1228"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2A35D707">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三、监管部门报告制度</w:t>
            </w:r>
          </w:p>
        </w:tc>
        <w:tc>
          <w:tcPr>
            <w:tcW w:w="1409"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5723ADB2">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自查报告</w:t>
            </w:r>
          </w:p>
        </w:tc>
        <w:tc>
          <w:tcPr>
            <w:tcW w:w="4152"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1D13FF02">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医疗器械注册人、备案人、受托生产企业应当每年对质量管理体系的运行情况进行自查，并于次年3月31日前向所在地药品监督管理部门提交自查报告；进口医疗器械注册人、备案人由其代理人向代理人所在地省、自治区、直辖市药品监督管理部门提交自查报告。</w:t>
            </w:r>
          </w:p>
        </w:tc>
        <w:tc>
          <w:tcPr>
            <w:tcW w:w="863"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1C91D239">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3.1.1</w:t>
            </w:r>
          </w:p>
        </w:tc>
        <w:tc>
          <w:tcPr>
            <w:tcW w:w="5470" w:type="dxa"/>
            <w:tcBorders>
              <w:top w:val="single" w:color="000000" w:sz="4" w:space="0"/>
              <w:left w:val="single" w:color="000000" w:sz="4" w:space="0"/>
              <w:bottom w:val="single" w:color="000000" w:sz="4" w:space="0"/>
              <w:right w:val="single" w:color="000000" w:sz="4" w:space="0"/>
              <w:tl2br w:val="nil"/>
              <w:tr2bl w:val="nil"/>
            </w:tcBorders>
            <w:noWrap/>
          </w:tcPr>
          <w:p w14:paraId="42A71234">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应该报告的事项，企业按照报告内容要求，在规定时限内、规范、全面完成上报事项的，得9分；</w:t>
            </w:r>
          </w:p>
        </w:tc>
        <w:tc>
          <w:tcPr>
            <w:tcW w:w="810"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5933CF0F">
            <w:pPr>
              <w:keepNext w:val="0"/>
              <w:keepLines w:val="0"/>
              <w:pageBreakBefore w:val="0"/>
              <w:widowControl/>
              <w:suppressLineNumbers w:val="0"/>
              <w:kinsoku/>
              <w:wordWrap/>
              <w:overflowPunct/>
              <w:topLinePunct w:val="0"/>
              <w:autoSpaceDE/>
              <w:autoSpaceDN/>
              <w:bidi w:val="0"/>
              <w:adjustRightInd w:val="0"/>
              <w:snapToGrid w:val="0"/>
              <w:spacing w:line="320" w:lineRule="exact"/>
              <w:jc w:val="center"/>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9</w:t>
            </w:r>
          </w:p>
        </w:tc>
        <w:tc>
          <w:tcPr>
            <w:tcW w:w="810"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7D85F04B">
            <w:pPr>
              <w:keepNext w:val="0"/>
              <w:keepLines w:val="0"/>
              <w:pageBreakBefore w:val="0"/>
              <w:widowControl/>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p>
        </w:tc>
        <w:tc>
          <w:tcPr>
            <w:tcW w:w="78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76FC854C">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p>
        </w:tc>
      </w:tr>
      <w:tr w14:paraId="71171E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0" w:hRule="atLeast"/>
          <w:jc w:val="center"/>
        </w:trPr>
        <w:tc>
          <w:tcPr>
            <w:tcW w:w="1228"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5E33E448"/>
        </w:tc>
        <w:tc>
          <w:tcPr>
            <w:tcW w:w="1409"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29DB389E">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生产事项报告</w:t>
            </w:r>
          </w:p>
        </w:tc>
        <w:tc>
          <w:tcPr>
            <w:tcW w:w="4152"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2CC0695D">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车间或者生产线进行改造，导致生产条件发生变化，可能影响医疗器械安全、有效的，应当向原发证部门报告；属于许可事项变化的，应当按照规定办理相关许可变更手续。</w:t>
            </w:r>
          </w:p>
        </w:tc>
        <w:tc>
          <w:tcPr>
            <w:tcW w:w="863"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6705AEB9"/>
        </w:tc>
        <w:tc>
          <w:tcPr>
            <w:tcW w:w="5470" w:type="dxa"/>
            <w:vMerge w:val="restart"/>
            <w:tcBorders>
              <w:top w:val="single" w:color="000000" w:sz="4" w:space="0"/>
              <w:left w:val="single" w:color="000000" w:sz="4" w:space="0"/>
              <w:bottom w:val="single" w:color="000000" w:sz="4" w:space="0"/>
              <w:right w:val="single" w:color="000000" w:sz="4" w:space="0"/>
              <w:tl2br w:val="nil"/>
              <w:tr2bl w:val="nil"/>
            </w:tcBorders>
            <w:noWrap/>
          </w:tcPr>
          <w:p w14:paraId="1278288B">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应该报告的事项，企业按照报告内容要求，在规定时限内完成上报事项，但报告内容存在部分不完整、不规范情形的，得5分；</w:t>
            </w:r>
          </w:p>
        </w:tc>
        <w:tc>
          <w:tcPr>
            <w:tcW w:w="810"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370B50BA"/>
        </w:tc>
        <w:tc>
          <w:tcPr>
            <w:tcW w:w="810"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279FE6DC"/>
        </w:tc>
        <w:tc>
          <w:tcPr>
            <w:tcW w:w="78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52544E18">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p>
        </w:tc>
      </w:tr>
      <w:tr w14:paraId="08DB1E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0" w:hRule="atLeast"/>
          <w:jc w:val="center"/>
        </w:trPr>
        <w:tc>
          <w:tcPr>
            <w:tcW w:w="1228"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03015ACA"/>
        </w:tc>
        <w:tc>
          <w:tcPr>
            <w:tcW w:w="1409"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2CF973A1"/>
        </w:tc>
        <w:tc>
          <w:tcPr>
            <w:tcW w:w="4152"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2941E388">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医疗器械生产企业应当向药品监督管理部门报告所生产的产品品种情况；增加生产产品品种的，应当向原生产许可或者生产备案部门报告，涉及委托生产的，还应当提供委托方、受托生产产品、受托期限等信息；属于许可事项变化的，应当按照规定办理相关许可变更。</w:t>
            </w:r>
          </w:p>
        </w:tc>
        <w:tc>
          <w:tcPr>
            <w:tcW w:w="863"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740A63CB"/>
        </w:tc>
        <w:tc>
          <w:tcPr>
            <w:tcW w:w="5470" w:type="dxa"/>
            <w:vMerge w:val="continue"/>
            <w:tcBorders>
              <w:top w:val="single" w:color="000000" w:sz="4" w:space="0"/>
              <w:left w:val="single" w:color="000000" w:sz="4" w:space="0"/>
              <w:bottom w:val="single" w:color="000000" w:sz="4" w:space="0"/>
              <w:right w:val="single" w:color="000000" w:sz="4" w:space="0"/>
              <w:tl2br w:val="nil"/>
              <w:tr2bl w:val="nil"/>
            </w:tcBorders>
            <w:noWrap/>
          </w:tcPr>
          <w:p w14:paraId="31D3CEC0"/>
        </w:tc>
        <w:tc>
          <w:tcPr>
            <w:tcW w:w="810"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161B454F"/>
        </w:tc>
        <w:tc>
          <w:tcPr>
            <w:tcW w:w="810"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51F855DA"/>
        </w:tc>
        <w:tc>
          <w:tcPr>
            <w:tcW w:w="78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7D8DD8BE">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p>
        </w:tc>
      </w:tr>
      <w:tr w14:paraId="53401F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9" w:hRule="atLeast"/>
          <w:jc w:val="center"/>
        </w:trPr>
        <w:tc>
          <w:tcPr>
            <w:tcW w:w="1228"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07D9FF42"/>
        </w:tc>
        <w:tc>
          <w:tcPr>
            <w:tcW w:w="1409"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35E41724"/>
        </w:tc>
        <w:tc>
          <w:tcPr>
            <w:tcW w:w="4152"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28D64818">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医疗器械生产企业连续停产一年以上且无同类产品在产的，重新生产时，应当进行必要的验证和确认，并提前书面报告药品监督管理部门。</w:t>
            </w:r>
          </w:p>
        </w:tc>
        <w:tc>
          <w:tcPr>
            <w:tcW w:w="863"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6F25F362"/>
        </w:tc>
        <w:tc>
          <w:tcPr>
            <w:tcW w:w="5470" w:type="dxa"/>
            <w:vMerge w:val="continue"/>
            <w:tcBorders>
              <w:top w:val="single" w:color="000000" w:sz="4" w:space="0"/>
              <w:left w:val="single" w:color="000000" w:sz="4" w:space="0"/>
              <w:bottom w:val="single" w:color="000000" w:sz="4" w:space="0"/>
              <w:right w:val="single" w:color="000000" w:sz="4" w:space="0"/>
              <w:tl2br w:val="nil"/>
              <w:tr2bl w:val="nil"/>
            </w:tcBorders>
            <w:noWrap/>
          </w:tcPr>
          <w:p w14:paraId="64E843C9"/>
        </w:tc>
        <w:tc>
          <w:tcPr>
            <w:tcW w:w="810"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2CC38E97"/>
        </w:tc>
        <w:tc>
          <w:tcPr>
            <w:tcW w:w="810"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42438DA0"/>
        </w:tc>
        <w:tc>
          <w:tcPr>
            <w:tcW w:w="78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7D53158D">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p>
        </w:tc>
      </w:tr>
      <w:tr w14:paraId="7C6296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9" w:hRule="atLeast"/>
          <w:jc w:val="center"/>
        </w:trPr>
        <w:tc>
          <w:tcPr>
            <w:tcW w:w="1228"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79B255F7"/>
        </w:tc>
        <w:tc>
          <w:tcPr>
            <w:tcW w:w="1409"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577834FE">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管代变更</w:t>
            </w:r>
          </w:p>
        </w:tc>
        <w:tc>
          <w:tcPr>
            <w:tcW w:w="4152"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368DAA3E">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企业应当在确定或变更管理者代表15个工作日内向所在地药品监督管理部门报告。</w:t>
            </w:r>
          </w:p>
        </w:tc>
        <w:tc>
          <w:tcPr>
            <w:tcW w:w="863"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09FCD2E0"/>
        </w:tc>
        <w:tc>
          <w:tcPr>
            <w:tcW w:w="5470" w:type="dxa"/>
            <w:vMerge w:val="restart"/>
            <w:tcBorders>
              <w:top w:val="single" w:color="000000" w:sz="4" w:space="0"/>
              <w:left w:val="single" w:color="000000" w:sz="4" w:space="0"/>
              <w:bottom w:val="single" w:color="000000" w:sz="4" w:space="0"/>
              <w:right w:val="single" w:color="000000" w:sz="4" w:space="0"/>
              <w:tl2br w:val="nil"/>
              <w:tr2bl w:val="nil"/>
            </w:tcBorders>
            <w:noWrap/>
          </w:tcPr>
          <w:p w14:paraId="11F33742">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应该报告的事项，企业未按照要求进行上报或未在规定时间内完成报告的，存在一项，即不得分。</w:t>
            </w:r>
          </w:p>
        </w:tc>
        <w:tc>
          <w:tcPr>
            <w:tcW w:w="810"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78E8EC46"/>
        </w:tc>
        <w:tc>
          <w:tcPr>
            <w:tcW w:w="810"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183EC308"/>
        </w:tc>
        <w:tc>
          <w:tcPr>
            <w:tcW w:w="78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05A53963">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p>
        </w:tc>
      </w:tr>
      <w:tr w14:paraId="16BCFA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9" w:hRule="atLeast"/>
          <w:jc w:val="center"/>
        </w:trPr>
        <w:tc>
          <w:tcPr>
            <w:tcW w:w="1228"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57FF9243"/>
        </w:tc>
        <w:tc>
          <w:tcPr>
            <w:tcW w:w="1409"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0EA6EA56">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其他</w:t>
            </w:r>
          </w:p>
        </w:tc>
        <w:tc>
          <w:tcPr>
            <w:tcW w:w="4152"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41CE4B82">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法规规定其他需要报告的情形。</w:t>
            </w:r>
          </w:p>
        </w:tc>
        <w:tc>
          <w:tcPr>
            <w:tcW w:w="863"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137E8795"/>
        </w:tc>
        <w:tc>
          <w:tcPr>
            <w:tcW w:w="5470" w:type="dxa"/>
            <w:vMerge w:val="continue"/>
            <w:tcBorders>
              <w:top w:val="single" w:color="000000" w:sz="4" w:space="0"/>
              <w:left w:val="single" w:color="000000" w:sz="4" w:space="0"/>
              <w:bottom w:val="single" w:color="000000" w:sz="4" w:space="0"/>
              <w:right w:val="single" w:color="000000" w:sz="4" w:space="0"/>
              <w:tl2br w:val="nil"/>
              <w:tr2bl w:val="nil"/>
            </w:tcBorders>
            <w:noWrap/>
          </w:tcPr>
          <w:p w14:paraId="28FE58FE"/>
        </w:tc>
        <w:tc>
          <w:tcPr>
            <w:tcW w:w="810"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706B0A36"/>
        </w:tc>
        <w:tc>
          <w:tcPr>
            <w:tcW w:w="810"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4DEECD5F"/>
        </w:tc>
        <w:tc>
          <w:tcPr>
            <w:tcW w:w="78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54D22E5F">
            <w:pPr>
              <w:keepNext w:val="0"/>
              <w:keepLines w:val="0"/>
              <w:pageBreakBefore w:val="0"/>
              <w:widowControl/>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p>
        </w:tc>
      </w:tr>
      <w:tr w14:paraId="370FC1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0" w:hRule="atLeast"/>
          <w:jc w:val="center"/>
        </w:trPr>
        <w:tc>
          <w:tcPr>
            <w:tcW w:w="1228"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64B2F860">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highlight w:val="none"/>
                <w:u w:val="none"/>
                <w:lang w:val="en-US" w:eastAsia="zh-CN"/>
              </w:rPr>
              <w:t>四、企业质量安全关键岗位履职保障机制</w:t>
            </w:r>
          </w:p>
        </w:tc>
        <w:tc>
          <w:tcPr>
            <w:tcW w:w="1409"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0CD36F4D">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保障机制</w:t>
            </w:r>
            <w:r>
              <w:rPr>
                <w:rStyle w:val="6"/>
                <w:rFonts w:ascii="方正仿宋_GBK" w:eastAsia="方正仿宋_GBK" w:cs="方正仿宋_GBK"/>
                <w:color w:val="auto"/>
                <w:kern w:val="0"/>
                <w:sz w:val="21"/>
                <w:szCs w:val="21"/>
                <w:lang w:val="en-US" w:eastAsia="zh-CN"/>
              </w:rPr>
              <w:t>（评分机制）</w:t>
            </w:r>
          </w:p>
        </w:tc>
        <w:tc>
          <w:tcPr>
            <w:tcW w:w="4152"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0A210E5A">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企业应当建立健全质量安全关键岗位人员履职保障机制，明确岗位职责、任职条件，给予与岗位职责相适应的培训、权限和资源，为质量安全关键岗位人员充分履职提供必要保障。</w:t>
            </w:r>
            <w:r>
              <w:rPr>
                <w:rFonts w:hint="eastAsia" w:ascii="方正仿宋_GBK" w:eastAsia="方正仿宋_GBK" w:cs="方正仿宋_GBK"/>
                <w:i w:val="0"/>
                <w:iCs w:val="0"/>
                <w:color w:val="auto"/>
                <w:kern w:val="0"/>
                <w:sz w:val="21"/>
                <w:szCs w:val="21"/>
                <w:u w:val="none"/>
                <w:lang w:val="en-US" w:eastAsia="zh-CN"/>
              </w:rPr>
              <w:br w:type="textWrapping"/>
            </w:r>
            <w:r>
              <w:rPr>
                <w:rFonts w:hint="eastAsia" w:ascii="方正仿宋_GBK" w:eastAsia="方正仿宋_GBK" w:cs="方正仿宋_GBK"/>
                <w:i w:val="0"/>
                <w:iCs w:val="0"/>
                <w:color w:val="auto"/>
                <w:kern w:val="0"/>
                <w:sz w:val="21"/>
                <w:szCs w:val="21"/>
                <w:u w:val="none"/>
                <w:lang w:val="en-US" w:eastAsia="zh-CN"/>
              </w:rPr>
              <w:t>企业应当制定质量安全关键岗位说明书，明确质量安全关键岗位人员主要职责，并规定管理者代表、质量负责人、质量管理部门负责人的任职条件和所需权限。</w:t>
            </w:r>
          </w:p>
        </w:tc>
        <w:tc>
          <w:tcPr>
            <w:tcW w:w="863"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6DD1F055">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4.1.1</w:t>
            </w:r>
          </w:p>
        </w:tc>
        <w:tc>
          <w:tcPr>
            <w:tcW w:w="5470" w:type="dxa"/>
            <w:tcBorders>
              <w:top w:val="single" w:color="000000" w:sz="4" w:space="0"/>
              <w:left w:val="single" w:color="000000" w:sz="4" w:space="0"/>
              <w:bottom w:val="single" w:color="000000" w:sz="4" w:space="0"/>
              <w:right w:val="single" w:color="000000" w:sz="4" w:space="0"/>
              <w:tl2br w:val="nil"/>
              <w:tr2bl w:val="nil"/>
            </w:tcBorders>
            <w:noWrap/>
          </w:tcPr>
          <w:p w14:paraId="2B8DDABE">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按要求建有质量安全关键岗位人员履职保障机制，制定质量安全关键岗位说明书，机制健全、充分，说明书内容完整、准确，可有效为质量安全关键岗位人员充分履职提供必要保障，并且按照文件规定执行的，得3分；</w:t>
            </w:r>
          </w:p>
        </w:tc>
        <w:tc>
          <w:tcPr>
            <w:tcW w:w="810"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1EEA29ED">
            <w:pPr>
              <w:keepNext w:val="0"/>
              <w:keepLines w:val="0"/>
              <w:pageBreakBefore w:val="0"/>
              <w:widowControl/>
              <w:suppressLineNumbers w:val="0"/>
              <w:kinsoku/>
              <w:wordWrap/>
              <w:overflowPunct/>
              <w:topLinePunct w:val="0"/>
              <w:autoSpaceDE/>
              <w:autoSpaceDN/>
              <w:bidi w:val="0"/>
              <w:adjustRightInd w:val="0"/>
              <w:snapToGrid w:val="0"/>
              <w:spacing w:line="320" w:lineRule="exact"/>
              <w:jc w:val="center"/>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3</w:t>
            </w:r>
          </w:p>
        </w:tc>
        <w:tc>
          <w:tcPr>
            <w:tcW w:w="810"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20AA7FCC">
            <w:pPr>
              <w:keepNext w:val="0"/>
              <w:keepLines w:val="0"/>
              <w:pageBreakBefore w:val="0"/>
              <w:widowControl/>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p>
        </w:tc>
        <w:tc>
          <w:tcPr>
            <w:tcW w:w="783"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622C695F">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p>
        </w:tc>
      </w:tr>
      <w:tr w14:paraId="363095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0" w:hRule="atLeast"/>
          <w:jc w:val="center"/>
        </w:trPr>
        <w:tc>
          <w:tcPr>
            <w:tcW w:w="1228"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02D79F53"/>
        </w:tc>
        <w:tc>
          <w:tcPr>
            <w:tcW w:w="1409"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7FE9E787"/>
        </w:tc>
        <w:tc>
          <w:tcPr>
            <w:tcW w:w="4152"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3B1A0990"/>
        </w:tc>
        <w:tc>
          <w:tcPr>
            <w:tcW w:w="863"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1F6F57F7"/>
        </w:tc>
        <w:tc>
          <w:tcPr>
            <w:tcW w:w="5470" w:type="dxa"/>
            <w:tcBorders>
              <w:top w:val="single" w:color="000000" w:sz="4" w:space="0"/>
              <w:left w:val="single" w:color="000000" w:sz="4" w:space="0"/>
              <w:bottom w:val="single" w:color="000000" w:sz="4" w:space="0"/>
              <w:right w:val="single" w:color="000000" w:sz="4" w:space="0"/>
              <w:tl2br w:val="nil"/>
              <w:tr2bl w:val="nil"/>
            </w:tcBorders>
            <w:noWrap/>
          </w:tcPr>
          <w:p w14:paraId="39853661">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按要求建有质量安全关键岗位人员履职保障机制，制定质量安全关键岗位说明书，但机制、说明书内容不够充分、完整、准确，或未严格按照文件规定执行的，得2分；</w:t>
            </w:r>
          </w:p>
        </w:tc>
        <w:tc>
          <w:tcPr>
            <w:tcW w:w="810"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5C8099CA"/>
        </w:tc>
        <w:tc>
          <w:tcPr>
            <w:tcW w:w="810"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0C73029B"/>
        </w:tc>
        <w:tc>
          <w:tcPr>
            <w:tcW w:w="783"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0174F26D"/>
        </w:tc>
      </w:tr>
      <w:tr w14:paraId="6C23D3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0" w:hRule="atLeast"/>
          <w:jc w:val="center"/>
        </w:trPr>
        <w:tc>
          <w:tcPr>
            <w:tcW w:w="1228"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1B52DE37"/>
        </w:tc>
        <w:tc>
          <w:tcPr>
            <w:tcW w:w="1409"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444BB362"/>
        </w:tc>
        <w:tc>
          <w:tcPr>
            <w:tcW w:w="4152"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414D415F"/>
        </w:tc>
        <w:tc>
          <w:tcPr>
            <w:tcW w:w="863"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29879910"/>
        </w:tc>
        <w:tc>
          <w:tcPr>
            <w:tcW w:w="5470" w:type="dxa"/>
            <w:tcBorders>
              <w:top w:val="single" w:color="000000" w:sz="4" w:space="0"/>
              <w:left w:val="single" w:color="000000" w:sz="4" w:space="0"/>
              <w:bottom w:val="single" w:color="000000" w:sz="4" w:space="0"/>
              <w:right w:val="single" w:color="000000" w:sz="4" w:space="0"/>
              <w:tl2br w:val="nil"/>
              <w:tr2bl w:val="nil"/>
            </w:tcBorders>
            <w:noWrap/>
          </w:tcPr>
          <w:p w14:paraId="38718282">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未建立履职保障机制、未制定质量安全关键岗位说明书，或履职保障机制不适宜，质量安全关键岗位说明书制定不合理的，不得分。</w:t>
            </w:r>
          </w:p>
        </w:tc>
        <w:tc>
          <w:tcPr>
            <w:tcW w:w="810"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3EA1E514"/>
        </w:tc>
        <w:tc>
          <w:tcPr>
            <w:tcW w:w="810"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2F66D547"/>
        </w:tc>
        <w:tc>
          <w:tcPr>
            <w:tcW w:w="783"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2A7636DD"/>
        </w:tc>
      </w:tr>
      <w:tr w14:paraId="590328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0" w:hRule="atLeast"/>
          <w:jc w:val="center"/>
        </w:trPr>
        <w:tc>
          <w:tcPr>
            <w:tcW w:w="1228"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1D782D6C"/>
        </w:tc>
        <w:tc>
          <w:tcPr>
            <w:tcW w:w="1409"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1CD1BF8C"/>
        </w:tc>
        <w:tc>
          <w:tcPr>
            <w:tcW w:w="4152"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7458AFF6">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企业应当按照质量管理体系要求，对质量安全关键岗位人员进行与其职责和工作内容相关的岗前培训和继续教育，建立培训记录。培训内容应当包括相关法律法规、医疗器械专业知识及技能、质量管理制度等。</w:t>
            </w:r>
            <w:r>
              <w:rPr>
                <w:rFonts w:hint="eastAsia" w:ascii="方正仿宋_GBK" w:eastAsia="方正仿宋_GBK" w:cs="方正仿宋_GBK"/>
                <w:i w:val="0"/>
                <w:iCs w:val="0"/>
                <w:color w:val="auto"/>
                <w:kern w:val="0"/>
                <w:sz w:val="21"/>
                <w:szCs w:val="21"/>
                <w:u w:val="none"/>
                <w:lang w:val="en-US" w:eastAsia="zh-CN"/>
              </w:rPr>
              <w:br w:type="textWrapping"/>
            </w:r>
            <w:r>
              <w:rPr>
                <w:rFonts w:hint="eastAsia" w:ascii="方正仿宋_GBK" w:eastAsia="方正仿宋_GBK" w:cs="方正仿宋_GBK"/>
                <w:i w:val="0"/>
                <w:iCs w:val="0"/>
                <w:color w:val="auto"/>
                <w:kern w:val="0"/>
                <w:sz w:val="21"/>
                <w:szCs w:val="21"/>
                <w:u w:val="none"/>
                <w:lang w:val="en-US" w:eastAsia="zh-CN"/>
              </w:rPr>
              <w:t>生产企业管理者代表、质量管理部门负责人应当在职在岗，并履行岗位职责。企业应当按照质量管理体系要求，对质量安全关键岗位负责人员的任命、调整、责任履行等情况予以记录，存档备查。</w:t>
            </w:r>
          </w:p>
        </w:tc>
        <w:tc>
          <w:tcPr>
            <w:tcW w:w="863"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07210D10">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4.2.1</w:t>
            </w:r>
          </w:p>
        </w:tc>
        <w:tc>
          <w:tcPr>
            <w:tcW w:w="5470" w:type="dxa"/>
            <w:tcBorders>
              <w:top w:val="single" w:color="000000" w:sz="4" w:space="0"/>
              <w:left w:val="single" w:color="000000" w:sz="4" w:space="0"/>
              <w:bottom w:val="single" w:color="000000" w:sz="4" w:space="0"/>
              <w:right w:val="single" w:color="000000" w:sz="4" w:space="0"/>
              <w:tl2br w:val="nil"/>
              <w:tr2bl w:val="nil"/>
            </w:tcBorders>
            <w:noWrap/>
          </w:tcPr>
          <w:p w14:paraId="4753E32D">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按照质量管理体系要求，对质量安全关键岗位人员进行相应的岗前培训和继续教育，并留有相关记录；生产企业管理者代表、质量管理部门负责人在职在岗，岗位职责履行良好；对质量安全关键岗位负责人员的任命、调整、责任履行等情况予以记录且存档的，得3分；</w:t>
            </w:r>
          </w:p>
        </w:tc>
        <w:tc>
          <w:tcPr>
            <w:tcW w:w="810"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47653C00">
            <w:pPr>
              <w:keepNext w:val="0"/>
              <w:keepLines w:val="0"/>
              <w:pageBreakBefore w:val="0"/>
              <w:widowControl/>
              <w:suppressLineNumbers w:val="0"/>
              <w:kinsoku/>
              <w:wordWrap/>
              <w:overflowPunct/>
              <w:topLinePunct w:val="0"/>
              <w:autoSpaceDE/>
              <w:autoSpaceDN/>
              <w:bidi w:val="0"/>
              <w:adjustRightInd w:val="0"/>
              <w:snapToGrid w:val="0"/>
              <w:spacing w:line="320" w:lineRule="exact"/>
              <w:jc w:val="center"/>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3</w:t>
            </w:r>
          </w:p>
        </w:tc>
        <w:tc>
          <w:tcPr>
            <w:tcW w:w="810"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13166FCD">
            <w:pPr>
              <w:keepNext w:val="0"/>
              <w:keepLines w:val="0"/>
              <w:pageBreakBefore w:val="0"/>
              <w:widowControl/>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p>
        </w:tc>
        <w:tc>
          <w:tcPr>
            <w:tcW w:w="783"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3FF9416F">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p>
        </w:tc>
      </w:tr>
      <w:tr w14:paraId="163E6C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60" w:hRule="atLeast"/>
          <w:jc w:val="center"/>
        </w:trPr>
        <w:tc>
          <w:tcPr>
            <w:tcW w:w="1228"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000BA221"/>
        </w:tc>
        <w:tc>
          <w:tcPr>
            <w:tcW w:w="1409"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0AAA441C"/>
        </w:tc>
        <w:tc>
          <w:tcPr>
            <w:tcW w:w="4152"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54BA2656"/>
        </w:tc>
        <w:tc>
          <w:tcPr>
            <w:tcW w:w="863"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2703F604"/>
        </w:tc>
        <w:tc>
          <w:tcPr>
            <w:tcW w:w="5470" w:type="dxa"/>
            <w:tcBorders>
              <w:top w:val="single" w:color="000000" w:sz="4" w:space="0"/>
              <w:left w:val="single" w:color="000000" w:sz="4" w:space="0"/>
              <w:bottom w:val="single" w:color="000000" w:sz="4" w:space="0"/>
              <w:right w:val="single" w:color="000000" w:sz="4" w:space="0"/>
              <w:tl2br w:val="nil"/>
              <w:tr2bl w:val="nil"/>
            </w:tcBorders>
            <w:noWrap/>
          </w:tcPr>
          <w:p w14:paraId="78806831">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按照质量管理体系要求，对质量安全关键岗位人员进行相应的岗前培训和继续教育，但记录存在不完整的；生产企业管理者代表、质量管理部门负责人在职在岗，履行岗位职责较好；对质量安全关键岗位负责人员的任命、调整、责任履行等情况予以记录，但记录不完整或未按要求存档的，得2分；</w:t>
            </w:r>
          </w:p>
        </w:tc>
        <w:tc>
          <w:tcPr>
            <w:tcW w:w="810"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0C1571CA"/>
        </w:tc>
        <w:tc>
          <w:tcPr>
            <w:tcW w:w="810"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5C7FB06D"/>
        </w:tc>
        <w:tc>
          <w:tcPr>
            <w:tcW w:w="783"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3CD275AC"/>
        </w:tc>
      </w:tr>
      <w:tr w14:paraId="7522B8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0" w:hRule="atLeast"/>
          <w:jc w:val="center"/>
        </w:trPr>
        <w:tc>
          <w:tcPr>
            <w:tcW w:w="1228"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57B00A88"/>
        </w:tc>
        <w:tc>
          <w:tcPr>
            <w:tcW w:w="1409"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0CF080D2"/>
        </w:tc>
        <w:tc>
          <w:tcPr>
            <w:tcW w:w="4152"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1B8BBF5A"/>
        </w:tc>
        <w:tc>
          <w:tcPr>
            <w:tcW w:w="863"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4E45E721"/>
        </w:tc>
        <w:tc>
          <w:tcPr>
            <w:tcW w:w="5470" w:type="dxa"/>
            <w:tcBorders>
              <w:top w:val="single" w:color="000000" w:sz="4" w:space="0"/>
              <w:left w:val="single" w:color="000000" w:sz="4" w:space="0"/>
              <w:bottom w:val="single" w:color="000000" w:sz="4" w:space="0"/>
              <w:right w:val="single" w:color="000000" w:sz="4" w:space="0"/>
              <w:tl2br w:val="nil"/>
              <w:tr2bl w:val="nil"/>
            </w:tcBorders>
            <w:noWrap/>
          </w:tcPr>
          <w:p w14:paraId="3B34AF93">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未对质量安全关键岗位人员进行与其职责和工作内容相关的岗前培训和继续教育，或无培训、质量关键岗位负责人员履职情况等记录的，不得分。</w:t>
            </w:r>
          </w:p>
        </w:tc>
        <w:tc>
          <w:tcPr>
            <w:tcW w:w="810"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6F2CF4DA"/>
        </w:tc>
        <w:tc>
          <w:tcPr>
            <w:tcW w:w="810"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60DEF2B3"/>
        </w:tc>
        <w:tc>
          <w:tcPr>
            <w:tcW w:w="783"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190D9B1B"/>
        </w:tc>
      </w:tr>
      <w:tr w14:paraId="2713E9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0" w:hRule="atLeast"/>
          <w:jc w:val="center"/>
        </w:trPr>
        <w:tc>
          <w:tcPr>
            <w:tcW w:w="1228"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67458447"/>
        </w:tc>
        <w:tc>
          <w:tcPr>
            <w:tcW w:w="1409"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7EB3F13E"/>
        </w:tc>
        <w:tc>
          <w:tcPr>
            <w:tcW w:w="4152"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2C41BD10">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医疗器械注册人、备案人以及从事医疗器械生产活动的单位和个人应当对监督检查、飞行检查、医疗器械不良事件调查和抽样检验等监督管理活动予以配合；被检查单位及有关人员应当及时按照检查组要求，明确检查现场负责人，开放相关场所或者区域，配合对相关设施设备的检查，保持正常生产状态，提供真实、有效、完整的文件、记录、票据、凭证、电子数据等相关材料，如实回答检查组的询问。</w:t>
            </w:r>
          </w:p>
        </w:tc>
        <w:tc>
          <w:tcPr>
            <w:tcW w:w="863"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6C3136B5">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4.3.1</w:t>
            </w:r>
          </w:p>
        </w:tc>
        <w:tc>
          <w:tcPr>
            <w:tcW w:w="5470" w:type="dxa"/>
            <w:tcBorders>
              <w:top w:val="single" w:color="000000" w:sz="4" w:space="0"/>
              <w:left w:val="single" w:color="000000" w:sz="4" w:space="0"/>
              <w:bottom w:val="single" w:color="000000" w:sz="4" w:space="0"/>
              <w:right w:val="single" w:color="000000" w:sz="4" w:space="0"/>
              <w:tl2br w:val="nil"/>
              <w:tr2bl w:val="nil"/>
            </w:tcBorders>
            <w:noWrap/>
          </w:tcPr>
          <w:p w14:paraId="5D0D0429">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积极配合监管部门，完成监督检查、飞行检查、许可检查、监督抽检等各类监督管理活动，提供真实、有效、完整的文件、记录、票据、凭证、电子数据等相关材料，如实回答检查组的询问的，得5分；</w:t>
            </w:r>
          </w:p>
        </w:tc>
        <w:tc>
          <w:tcPr>
            <w:tcW w:w="810"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0226549F">
            <w:pPr>
              <w:keepNext w:val="0"/>
              <w:keepLines w:val="0"/>
              <w:pageBreakBefore w:val="0"/>
              <w:widowControl/>
              <w:suppressLineNumbers w:val="0"/>
              <w:kinsoku/>
              <w:wordWrap/>
              <w:overflowPunct/>
              <w:topLinePunct w:val="0"/>
              <w:autoSpaceDE/>
              <w:autoSpaceDN/>
              <w:bidi w:val="0"/>
              <w:adjustRightInd w:val="0"/>
              <w:snapToGrid w:val="0"/>
              <w:spacing w:line="320" w:lineRule="exact"/>
              <w:jc w:val="center"/>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5</w:t>
            </w:r>
          </w:p>
        </w:tc>
        <w:tc>
          <w:tcPr>
            <w:tcW w:w="810"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7E8D3C8D">
            <w:pPr>
              <w:keepNext w:val="0"/>
              <w:keepLines w:val="0"/>
              <w:pageBreakBefore w:val="0"/>
              <w:widowControl/>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p>
        </w:tc>
        <w:tc>
          <w:tcPr>
            <w:tcW w:w="783"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03ADF92B">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p>
        </w:tc>
      </w:tr>
      <w:tr w14:paraId="58B127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0" w:hRule="atLeast"/>
          <w:jc w:val="center"/>
        </w:trPr>
        <w:tc>
          <w:tcPr>
            <w:tcW w:w="1228"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263CBB15"/>
        </w:tc>
        <w:tc>
          <w:tcPr>
            <w:tcW w:w="1409"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1654BB3F"/>
        </w:tc>
        <w:tc>
          <w:tcPr>
            <w:tcW w:w="4152"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1106451C"/>
        </w:tc>
        <w:tc>
          <w:tcPr>
            <w:tcW w:w="863"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047B2B23"/>
        </w:tc>
        <w:tc>
          <w:tcPr>
            <w:tcW w:w="5470" w:type="dxa"/>
            <w:tcBorders>
              <w:top w:val="single" w:color="000000" w:sz="4" w:space="0"/>
              <w:left w:val="single" w:color="000000" w:sz="4" w:space="0"/>
              <w:bottom w:val="single" w:color="000000" w:sz="4" w:space="0"/>
              <w:right w:val="single" w:color="000000" w:sz="4" w:space="0"/>
              <w:tl2br w:val="nil"/>
              <w:tr2bl w:val="nil"/>
            </w:tcBorders>
            <w:noWrap/>
          </w:tcPr>
          <w:p w14:paraId="05C92CAB">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未配合监管部门，完成监督检查、飞行检查、许可检查、监督抽检等各类监督管理活动，对检查组要求提供的材料不能及时提供，对检查组的询问不予理睬的，不得分。</w:t>
            </w:r>
          </w:p>
        </w:tc>
        <w:tc>
          <w:tcPr>
            <w:tcW w:w="810"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7831D4BC"/>
        </w:tc>
        <w:tc>
          <w:tcPr>
            <w:tcW w:w="810"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736D8ADC"/>
        </w:tc>
        <w:tc>
          <w:tcPr>
            <w:tcW w:w="783"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44B31F9B"/>
        </w:tc>
      </w:tr>
      <w:tr w14:paraId="44AF29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0" w:hRule="atLeast"/>
          <w:jc w:val="center"/>
        </w:trPr>
        <w:tc>
          <w:tcPr>
            <w:tcW w:w="1228"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2EEF50B8">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五、上市后研究</w:t>
            </w:r>
          </w:p>
        </w:tc>
        <w:tc>
          <w:tcPr>
            <w:tcW w:w="1409"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2CC5C238">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上市后研究</w:t>
            </w:r>
          </w:p>
        </w:tc>
        <w:tc>
          <w:tcPr>
            <w:tcW w:w="4152"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1C6CF566">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企业应当对上市医疗器械安全性进行持续研究，对产品的顾客抱怨，投诉举报、监测资料和国内外风险信息进行汇总、分析、评价并保留相关的记录；应对法规、产品标准的变化，进行相应的评估、研究和处置；</w:t>
            </w:r>
            <w:r>
              <w:rPr>
                <w:rFonts w:hint="eastAsia" w:ascii="方正仿宋_GBK" w:eastAsia="方正仿宋_GBK" w:cs="方正仿宋_GBK"/>
                <w:i w:val="0"/>
                <w:iCs w:val="0"/>
                <w:color w:val="auto"/>
                <w:kern w:val="0"/>
                <w:sz w:val="21"/>
                <w:szCs w:val="21"/>
                <w:u w:val="none"/>
                <w:lang w:val="en-US" w:eastAsia="zh-CN"/>
              </w:rPr>
              <w:br w:type="textWrapping"/>
            </w:r>
            <w:r>
              <w:rPr>
                <w:rFonts w:hint="eastAsia" w:ascii="方正仿宋_GBK" w:eastAsia="方正仿宋_GBK" w:cs="方正仿宋_GBK"/>
                <w:i w:val="0"/>
                <w:iCs w:val="0"/>
                <w:color w:val="auto"/>
                <w:kern w:val="0"/>
                <w:sz w:val="21"/>
                <w:szCs w:val="21"/>
                <w:u w:val="none"/>
                <w:lang w:val="en-US" w:eastAsia="zh-CN"/>
              </w:rPr>
              <w:t>产品附条件审批的，应在规定时间内按规定要求完成相应的研究。</w:t>
            </w:r>
            <w:r>
              <w:rPr>
                <w:rFonts w:hint="eastAsia" w:ascii="方正仿宋_GBK" w:eastAsia="方正仿宋_GBK" w:cs="方正仿宋_GBK"/>
                <w:i w:val="0"/>
                <w:iCs w:val="0"/>
                <w:color w:val="auto"/>
                <w:kern w:val="0"/>
                <w:sz w:val="21"/>
                <w:szCs w:val="21"/>
                <w:u w:val="none"/>
                <w:lang w:val="en-US" w:eastAsia="zh-CN"/>
              </w:rPr>
              <w:br w:type="textWrapping"/>
            </w:r>
            <w:r>
              <w:rPr>
                <w:rFonts w:hint="eastAsia" w:ascii="方正仿宋_GBK" w:eastAsia="方正仿宋_GBK" w:cs="方正仿宋_GBK"/>
                <w:i w:val="0"/>
                <w:iCs w:val="0"/>
                <w:color w:val="auto"/>
                <w:kern w:val="0"/>
                <w:sz w:val="21"/>
                <w:szCs w:val="21"/>
                <w:u w:val="none"/>
                <w:lang w:val="en-US" w:eastAsia="zh-CN"/>
              </w:rPr>
              <w:t>风险评估报告。</w:t>
            </w:r>
          </w:p>
        </w:tc>
        <w:tc>
          <w:tcPr>
            <w:tcW w:w="863"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04473AD8">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5.1.1</w:t>
            </w:r>
          </w:p>
        </w:tc>
        <w:tc>
          <w:tcPr>
            <w:tcW w:w="5470" w:type="dxa"/>
            <w:tcBorders>
              <w:top w:val="single" w:color="000000" w:sz="4" w:space="0"/>
              <w:left w:val="single" w:color="000000" w:sz="4" w:space="0"/>
              <w:bottom w:val="single" w:color="000000" w:sz="4" w:space="0"/>
              <w:right w:val="single" w:color="000000" w:sz="4" w:space="0"/>
              <w:tl2br w:val="nil"/>
              <w:tr2bl w:val="nil"/>
            </w:tcBorders>
            <w:noWrap/>
          </w:tcPr>
          <w:p w14:paraId="7EEE92AC">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对上市医疗器械安全性进行持续研究，按要求撰写定期风险评价报告；对产品的不良事件、顾客抱怨，投诉举报、监测资料和国内外风险信息进行汇总、分析及评价并保留相关记录；针对法规、产品标准的变化，进行相应的评估、研究和处置并保留相关记录；对产品附条件审批的，在规定时间内按规定要求完成相应的研究；得5分；</w:t>
            </w:r>
          </w:p>
        </w:tc>
        <w:tc>
          <w:tcPr>
            <w:tcW w:w="810"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016C1510">
            <w:pPr>
              <w:keepNext w:val="0"/>
              <w:keepLines w:val="0"/>
              <w:pageBreakBefore w:val="0"/>
              <w:widowControl/>
              <w:suppressLineNumbers w:val="0"/>
              <w:kinsoku/>
              <w:wordWrap/>
              <w:overflowPunct/>
              <w:topLinePunct w:val="0"/>
              <w:autoSpaceDE/>
              <w:autoSpaceDN/>
              <w:bidi w:val="0"/>
              <w:adjustRightInd w:val="0"/>
              <w:snapToGrid w:val="0"/>
              <w:spacing w:line="320" w:lineRule="exact"/>
              <w:jc w:val="center"/>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5</w:t>
            </w:r>
          </w:p>
        </w:tc>
        <w:tc>
          <w:tcPr>
            <w:tcW w:w="810"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27B4F780">
            <w:pPr>
              <w:keepNext w:val="0"/>
              <w:keepLines w:val="0"/>
              <w:pageBreakBefore w:val="0"/>
              <w:widowControl/>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p>
        </w:tc>
        <w:tc>
          <w:tcPr>
            <w:tcW w:w="783"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64EE0C71">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p>
        </w:tc>
      </w:tr>
      <w:tr w14:paraId="69383B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50" w:hRule="atLeast"/>
          <w:jc w:val="center"/>
        </w:trPr>
        <w:tc>
          <w:tcPr>
            <w:tcW w:w="1228"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10A8F2B2"/>
        </w:tc>
        <w:tc>
          <w:tcPr>
            <w:tcW w:w="1409"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7F84CBB7"/>
        </w:tc>
        <w:tc>
          <w:tcPr>
            <w:tcW w:w="4152"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75CEAE6E"/>
        </w:tc>
        <w:tc>
          <w:tcPr>
            <w:tcW w:w="863"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005517E2"/>
        </w:tc>
        <w:tc>
          <w:tcPr>
            <w:tcW w:w="5470" w:type="dxa"/>
            <w:tcBorders>
              <w:top w:val="single" w:color="000000" w:sz="4" w:space="0"/>
              <w:left w:val="single" w:color="000000" w:sz="4" w:space="0"/>
              <w:bottom w:val="single" w:color="000000" w:sz="4" w:space="0"/>
              <w:right w:val="single" w:color="000000" w:sz="4" w:space="0"/>
              <w:tl2br w:val="nil"/>
              <w:tr2bl w:val="nil"/>
            </w:tcBorders>
            <w:noWrap/>
          </w:tcPr>
          <w:p w14:paraId="36A70A1C">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对上市医疗器械安全性进行持续研究，按要求撰写定期风险评价报告；对产品的不良事件，顾客抱怨，投诉举报、监测资料和国内外风险信息进行汇总、分析及评价并保留相关记录；针对法规、产品标准的变化，进行相应的评估、研究和处置并保留相关记录；对产品附条件审批的，在规定时间内按规定要求完成相应的研究，但报告、评价或研究内容存在部分不规范情形的，得3分；</w:t>
            </w:r>
          </w:p>
        </w:tc>
        <w:tc>
          <w:tcPr>
            <w:tcW w:w="810"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43DD0BBD"/>
        </w:tc>
        <w:tc>
          <w:tcPr>
            <w:tcW w:w="810"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4B50EABD"/>
        </w:tc>
        <w:tc>
          <w:tcPr>
            <w:tcW w:w="783"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7A5F064B"/>
        </w:tc>
      </w:tr>
      <w:tr w14:paraId="04F750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0" w:hRule="atLeast"/>
          <w:jc w:val="center"/>
        </w:trPr>
        <w:tc>
          <w:tcPr>
            <w:tcW w:w="1228"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3A6B70F6"/>
        </w:tc>
        <w:tc>
          <w:tcPr>
            <w:tcW w:w="1409"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041749A3"/>
        </w:tc>
        <w:tc>
          <w:tcPr>
            <w:tcW w:w="4152"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42D4E08C"/>
        </w:tc>
        <w:tc>
          <w:tcPr>
            <w:tcW w:w="863"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47E8A9EE"/>
        </w:tc>
        <w:tc>
          <w:tcPr>
            <w:tcW w:w="5470" w:type="dxa"/>
            <w:tcBorders>
              <w:top w:val="single" w:color="000000" w:sz="4" w:space="0"/>
              <w:left w:val="single" w:color="000000" w:sz="4" w:space="0"/>
              <w:bottom w:val="single" w:color="000000" w:sz="4" w:space="0"/>
              <w:right w:val="single" w:color="000000" w:sz="4" w:space="0"/>
              <w:tl2br w:val="nil"/>
              <w:tr2bl w:val="nil"/>
            </w:tcBorders>
            <w:noWrap/>
          </w:tcPr>
          <w:p w14:paraId="5E551F65">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未对产品的顾客抱怨，不良事件，投诉举报、监测资料和国内外风险信息进行汇总、分析及评价；或针对法规、产品标准的变化，未进行相应的评估、研究和处置；产品附条件审批的，未在规定时间内按规定要求完成相应的研究的，不得分。</w:t>
            </w:r>
          </w:p>
        </w:tc>
        <w:tc>
          <w:tcPr>
            <w:tcW w:w="810"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6D2E2F9A"/>
        </w:tc>
        <w:tc>
          <w:tcPr>
            <w:tcW w:w="810"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45158E38"/>
        </w:tc>
        <w:tc>
          <w:tcPr>
            <w:tcW w:w="783"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64A98DF3"/>
        </w:tc>
      </w:tr>
      <w:tr w14:paraId="75069D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00" w:hRule="atLeast"/>
          <w:jc w:val="center"/>
        </w:trPr>
        <w:tc>
          <w:tcPr>
            <w:tcW w:w="1228"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591F6BE8">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六、不良事件监测</w:t>
            </w:r>
          </w:p>
        </w:tc>
        <w:tc>
          <w:tcPr>
            <w:tcW w:w="1409"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7210B13A">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不良事件监测</w:t>
            </w:r>
          </w:p>
        </w:tc>
        <w:tc>
          <w:tcPr>
            <w:tcW w:w="4152"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7619258F">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医疗器械注册人、备案人、受托生产企业应当按照医疗器械不良事件监测相关规定落实不良事件监测责任，开展不良事件监测，向医疗器械不良事件监测技术机构报告调查、分析、评价、产品风险控制等情况。</w:t>
            </w:r>
          </w:p>
        </w:tc>
        <w:tc>
          <w:tcPr>
            <w:tcW w:w="863"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22D0C20A">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6.1.1</w:t>
            </w:r>
          </w:p>
        </w:tc>
        <w:tc>
          <w:tcPr>
            <w:tcW w:w="5470" w:type="dxa"/>
            <w:tcBorders>
              <w:top w:val="single" w:color="000000" w:sz="4" w:space="0"/>
              <w:left w:val="single" w:color="000000" w:sz="4" w:space="0"/>
              <w:bottom w:val="single" w:color="000000" w:sz="4" w:space="0"/>
              <w:right w:val="single" w:color="000000" w:sz="4" w:space="0"/>
              <w:tl2br w:val="nil"/>
              <w:tr2bl w:val="nil"/>
            </w:tcBorders>
            <w:noWrap/>
          </w:tcPr>
          <w:p w14:paraId="7B8E7391">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建立不良事件监测和在评价工作制度及相关工作程序，有专职人员从事相关工作；在不良事件监测信息平台注册并及时更新用户和产品信息等信息，按法规要求开展不良事件监测、上报、后续调查、分析和评价并保留相关记录的，得5分；</w:t>
            </w:r>
          </w:p>
        </w:tc>
        <w:tc>
          <w:tcPr>
            <w:tcW w:w="810"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26EBD24A">
            <w:pPr>
              <w:keepNext w:val="0"/>
              <w:keepLines w:val="0"/>
              <w:pageBreakBefore w:val="0"/>
              <w:widowControl/>
              <w:suppressLineNumbers w:val="0"/>
              <w:kinsoku/>
              <w:wordWrap/>
              <w:overflowPunct/>
              <w:topLinePunct w:val="0"/>
              <w:autoSpaceDE/>
              <w:autoSpaceDN/>
              <w:bidi w:val="0"/>
              <w:adjustRightInd w:val="0"/>
              <w:snapToGrid w:val="0"/>
              <w:spacing w:line="320" w:lineRule="exact"/>
              <w:jc w:val="center"/>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5</w:t>
            </w:r>
          </w:p>
        </w:tc>
        <w:tc>
          <w:tcPr>
            <w:tcW w:w="810"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3AFE40B2">
            <w:pPr>
              <w:keepNext w:val="0"/>
              <w:keepLines w:val="0"/>
              <w:pageBreakBefore w:val="0"/>
              <w:widowControl/>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p>
        </w:tc>
        <w:tc>
          <w:tcPr>
            <w:tcW w:w="783"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22AE82D2">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p>
        </w:tc>
      </w:tr>
      <w:tr w14:paraId="4BEF29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0" w:hRule="atLeast"/>
          <w:jc w:val="center"/>
        </w:trPr>
        <w:tc>
          <w:tcPr>
            <w:tcW w:w="1228"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40B8534F"/>
        </w:tc>
        <w:tc>
          <w:tcPr>
            <w:tcW w:w="1409"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76E57310"/>
        </w:tc>
        <w:tc>
          <w:tcPr>
            <w:tcW w:w="4152"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6B2D7D8C"/>
        </w:tc>
        <w:tc>
          <w:tcPr>
            <w:tcW w:w="863"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0F8D5717"/>
        </w:tc>
        <w:tc>
          <w:tcPr>
            <w:tcW w:w="5470" w:type="dxa"/>
            <w:tcBorders>
              <w:top w:val="single" w:color="000000" w:sz="4" w:space="0"/>
              <w:left w:val="single" w:color="000000" w:sz="4" w:space="0"/>
              <w:bottom w:val="single" w:color="000000" w:sz="4" w:space="0"/>
              <w:right w:val="single" w:color="000000" w:sz="4" w:space="0"/>
              <w:tl2br w:val="nil"/>
              <w:tr2bl w:val="nil"/>
            </w:tcBorders>
            <w:noWrap/>
          </w:tcPr>
          <w:p w14:paraId="17078F88">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建立不良事件监测和在评价工作制度及相关工作程序但工作程序不完整，有专门人员从事相关工作；在不良事件监测信息平台注册并及时更新用户和产品信息等信息，按法规要求开展不良事件监测、上报、后续调查、分析和评价，但记录不够完整的，得3分；</w:t>
            </w:r>
          </w:p>
        </w:tc>
        <w:tc>
          <w:tcPr>
            <w:tcW w:w="810"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22DC638F"/>
        </w:tc>
        <w:tc>
          <w:tcPr>
            <w:tcW w:w="810"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3E81B7AB"/>
        </w:tc>
        <w:tc>
          <w:tcPr>
            <w:tcW w:w="783"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779D8B2B"/>
        </w:tc>
      </w:tr>
      <w:tr w14:paraId="7F4DFC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0" w:hRule="atLeast"/>
          <w:jc w:val="center"/>
        </w:trPr>
        <w:tc>
          <w:tcPr>
            <w:tcW w:w="1228"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1B6EE483"/>
        </w:tc>
        <w:tc>
          <w:tcPr>
            <w:tcW w:w="1409"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1A0836AA"/>
        </w:tc>
        <w:tc>
          <w:tcPr>
            <w:tcW w:w="4152"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68DFC394"/>
        </w:tc>
        <w:tc>
          <w:tcPr>
            <w:tcW w:w="863"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6F504565"/>
        </w:tc>
        <w:tc>
          <w:tcPr>
            <w:tcW w:w="5470" w:type="dxa"/>
            <w:tcBorders>
              <w:top w:val="single" w:color="000000" w:sz="4" w:space="0"/>
              <w:left w:val="single" w:color="000000" w:sz="4" w:space="0"/>
              <w:bottom w:val="single" w:color="000000" w:sz="4" w:space="0"/>
              <w:right w:val="single" w:color="000000" w:sz="4" w:space="0"/>
              <w:tl2br w:val="nil"/>
              <w:tr2bl w:val="nil"/>
            </w:tcBorders>
            <w:noWrap/>
          </w:tcPr>
          <w:p w14:paraId="3496237E">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未建立不良事件监测和在评价工作制度及相关工作程序，未在不良事件监测信息平台注册或未及时更新用户和产品信息等信息，未按法规要求开展不良事件监测、上报、后续调查、分析和评价并保留相关记录的，不得分。</w:t>
            </w:r>
          </w:p>
        </w:tc>
        <w:tc>
          <w:tcPr>
            <w:tcW w:w="810"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13347982"/>
        </w:tc>
        <w:tc>
          <w:tcPr>
            <w:tcW w:w="810"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567A39A5"/>
        </w:tc>
        <w:tc>
          <w:tcPr>
            <w:tcW w:w="783"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3ADE04DD"/>
        </w:tc>
      </w:tr>
      <w:tr w14:paraId="0F3BE9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0" w:hRule="atLeast"/>
          <w:jc w:val="center"/>
        </w:trPr>
        <w:tc>
          <w:tcPr>
            <w:tcW w:w="1228"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4189CD20">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七、加分情形</w:t>
            </w:r>
          </w:p>
        </w:tc>
        <w:tc>
          <w:tcPr>
            <w:tcW w:w="1409"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6F9C241A">
            <w:pPr>
              <w:keepNext w:val="0"/>
              <w:keepLines w:val="0"/>
              <w:pageBreakBefore w:val="0"/>
              <w:widowControl/>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p>
        </w:tc>
        <w:tc>
          <w:tcPr>
            <w:tcW w:w="4152"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73FDE027">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鼓励企业与高等学校、科研院所、医疗机构等合作开展医疗器械的研究与创新；鼓励加强医疗器械知识产权保护，提高医疗器械自主创新能力</w:t>
            </w:r>
          </w:p>
        </w:tc>
        <w:tc>
          <w:tcPr>
            <w:tcW w:w="863"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2FF76841">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7.1.1</w:t>
            </w:r>
          </w:p>
        </w:tc>
        <w:tc>
          <w:tcPr>
            <w:tcW w:w="5470" w:type="dxa"/>
            <w:tcBorders>
              <w:top w:val="single" w:color="000000" w:sz="4" w:space="0"/>
              <w:left w:val="single" w:color="000000" w:sz="4" w:space="0"/>
              <w:bottom w:val="single" w:color="000000" w:sz="4" w:space="0"/>
              <w:right w:val="single" w:color="000000" w:sz="4" w:space="0"/>
              <w:tl2br w:val="nil"/>
              <w:tr2bl w:val="nil"/>
            </w:tcBorders>
            <w:noWrap/>
          </w:tcPr>
          <w:p w14:paraId="09087D37">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lang w:val="en-US"/>
              </w:rPr>
            </w:pPr>
            <w:r>
              <w:rPr>
                <w:rFonts w:hint="eastAsia" w:ascii="方正仿宋_GBK" w:eastAsia="方正仿宋_GBK" w:cs="方正仿宋_GBK"/>
                <w:i w:val="0"/>
                <w:iCs w:val="0"/>
                <w:color w:val="auto"/>
                <w:kern w:val="0"/>
                <w:sz w:val="21"/>
                <w:szCs w:val="21"/>
                <w:u w:val="none"/>
                <w:lang w:val="en-US" w:eastAsia="zh-CN"/>
              </w:rPr>
              <w:t>企业与高等学校、科研院所、医疗机构等合作或自主开展医疗器械的研究与创新，其中当年取得三类创新产品注册证的，得3分。</w:t>
            </w:r>
          </w:p>
        </w:tc>
        <w:tc>
          <w:tcPr>
            <w:tcW w:w="810"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48C48BA1">
            <w:pPr>
              <w:keepNext w:val="0"/>
              <w:keepLines w:val="0"/>
              <w:pageBreakBefore w:val="0"/>
              <w:widowControl/>
              <w:suppressLineNumbers w:val="0"/>
              <w:kinsoku/>
              <w:wordWrap/>
              <w:overflowPunct/>
              <w:topLinePunct w:val="0"/>
              <w:autoSpaceDE/>
              <w:autoSpaceDN/>
              <w:bidi w:val="0"/>
              <w:adjustRightInd w:val="0"/>
              <w:snapToGrid w:val="0"/>
              <w:spacing w:line="320" w:lineRule="exact"/>
              <w:jc w:val="center"/>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3</w:t>
            </w:r>
          </w:p>
        </w:tc>
        <w:tc>
          <w:tcPr>
            <w:tcW w:w="810"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73743C72">
            <w:pPr>
              <w:keepNext w:val="0"/>
              <w:keepLines w:val="0"/>
              <w:pageBreakBefore w:val="0"/>
              <w:widowControl/>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p>
        </w:tc>
        <w:tc>
          <w:tcPr>
            <w:tcW w:w="783"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18DD827C">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p>
        </w:tc>
      </w:tr>
      <w:tr w14:paraId="753822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0" w:hRule="atLeast"/>
          <w:jc w:val="center"/>
        </w:trPr>
        <w:tc>
          <w:tcPr>
            <w:tcW w:w="1228"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2D748939"/>
        </w:tc>
        <w:tc>
          <w:tcPr>
            <w:tcW w:w="1409"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3DF7A4D6"/>
        </w:tc>
        <w:tc>
          <w:tcPr>
            <w:tcW w:w="4152"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2A13255B"/>
        </w:tc>
        <w:tc>
          <w:tcPr>
            <w:tcW w:w="863"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585D46CF"/>
        </w:tc>
        <w:tc>
          <w:tcPr>
            <w:tcW w:w="5470" w:type="dxa"/>
            <w:tcBorders>
              <w:top w:val="single" w:color="000000" w:sz="4" w:space="0"/>
              <w:left w:val="single" w:color="000000" w:sz="4" w:space="0"/>
              <w:bottom w:val="single" w:color="000000" w:sz="4" w:space="0"/>
              <w:right w:val="single" w:color="000000" w:sz="4" w:space="0"/>
              <w:tl2br w:val="nil"/>
              <w:tr2bl w:val="nil"/>
            </w:tcBorders>
            <w:noWrap/>
          </w:tcPr>
          <w:p w14:paraId="372AE314">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企业与高等学校、科研院所、医疗机构等合作或自主开展医疗器械的研究与创新，其中当年取得</w:t>
            </w:r>
            <w:r>
              <w:rPr>
                <w:rFonts w:hint="eastAsia" w:ascii="方正仿宋_GBK" w:eastAsia="方正仿宋_GBK" w:cs="方正仿宋_GBK"/>
                <w:i w:val="0"/>
                <w:iCs w:val="0"/>
                <w:color w:val="auto"/>
                <w:kern w:val="0"/>
                <w:sz w:val="21"/>
                <w:szCs w:val="21"/>
                <w:highlight w:val="none"/>
                <w:u w:val="none"/>
                <w:lang w:val="en-US" w:eastAsia="zh-CN"/>
              </w:rPr>
              <w:t>二类创新</w:t>
            </w:r>
            <w:r>
              <w:rPr>
                <w:rFonts w:hint="eastAsia" w:ascii="方正仿宋_GBK" w:eastAsia="方正仿宋_GBK" w:cs="方正仿宋_GBK"/>
                <w:i w:val="0"/>
                <w:iCs w:val="0"/>
                <w:color w:val="auto"/>
                <w:kern w:val="0"/>
                <w:sz w:val="21"/>
                <w:szCs w:val="21"/>
                <w:u w:val="none"/>
                <w:lang w:val="en-US" w:eastAsia="zh-CN"/>
              </w:rPr>
              <w:t>产品注册证的，得2分。</w:t>
            </w:r>
          </w:p>
        </w:tc>
        <w:tc>
          <w:tcPr>
            <w:tcW w:w="810"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4FC671FE"/>
        </w:tc>
        <w:tc>
          <w:tcPr>
            <w:tcW w:w="810"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748220FA"/>
        </w:tc>
        <w:tc>
          <w:tcPr>
            <w:tcW w:w="783"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121EEAD3"/>
        </w:tc>
      </w:tr>
      <w:tr w14:paraId="2C1E9E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0" w:hRule="atLeast"/>
          <w:jc w:val="center"/>
        </w:trPr>
        <w:tc>
          <w:tcPr>
            <w:tcW w:w="1228"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030F4549"/>
        </w:tc>
        <w:tc>
          <w:tcPr>
            <w:tcW w:w="1409"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34A18DD1"/>
        </w:tc>
        <w:tc>
          <w:tcPr>
            <w:tcW w:w="4152"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53618CC7"/>
        </w:tc>
        <w:tc>
          <w:tcPr>
            <w:tcW w:w="863"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6004FFA2"/>
        </w:tc>
        <w:tc>
          <w:tcPr>
            <w:tcW w:w="5470" w:type="dxa"/>
            <w:tcBorders>
              <w:top w:val="single" w:color="000000" w:sz="4" w:space="0"/>
              <w:left w:val="single" w:color="000000" w:sz="4" w:space="0"/>
              <w:bottom w:val="single" w:color="000000" w:sz="4" w:space="0"/>
              <w:right w:val="single" w:color="000000" w:sz="4" w:space="0"/>
              <w:tl2br w:val="nil"/>
              <w:tr2bl w:val="nil"/>
            </w:tcBorders>
            <w:noWrap/>
          </w:tcPr>
          <w:p w14:paraId="3B2D0CEB">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企业与高等学校、科研院所、医疗机构等合作或自主开展医疗器械的研究与创新，其中当年取得发明专利授权的，</w:t>
            </w:r>
            <w:r>
              <w:rPr>
                <w:rFonts w:hint="eastAsia" w:ascii="方正仿宋_GBK" w:eastAsia="方正仿宋_GBK" w:cs="方正仿宋_GBK"/>
                <w:i w:val="0"/>
                <w:iCs w:val="0"/>
                <w:color w:val="auto"/>
                <w:kern w:val="0"/>
                <w:sz w:val="21"/>
                <w:szCs w:val="21"/>
                <w:highlight w:val="none"/>
                <w:u w:val="none"/>
                <w:lang w:val="en-US" w:eastAsia="zh-CN"/>
              </w:rPr>
              <w:t>得2分。</w:t>
            </w:r>
          </w:p>
        </w:tc>
        <w:tc>
          <w:tcPr>
            <w:tcW w:w="810"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4E857463"/>
        </w:tc>
        <w:tc>
          <w:tcPr>
            <w:tcW w:w="810"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6B33B64B"/>
        </w:tc>
        <w:tc>
          <w:tcPr>
            <w:tcW w:w="783"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037F614E"/>
        </w:tc>
      </w:tr>
      <w:tr w14:paraId="42DB41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0" w:hRule="atLeast"/>
          <w:jc w:val="center"/>
        </w:trPr>
        <w:tc>
          <w:tcPr>
            <w:tcW w:w="1228"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1111C41F"/>
        </w:tc>
        <w:tc>
          <w:tcPr>
            <w:tcW w:w="1409"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3A91544F"/>
        </w:tc>
        <w:tc>
          <w:tcPr>
            <w:tcW w:w="4152"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5AB18C6C">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鼓励采用先进技术手段进行进货查验记录和销售记录应当真实、准确、完整和可追溯，并按照国务院药品监督管理部门规定的期限予以保存。</w:t>
            </w:r>
            <w:r>
              <w:rPr>
                <w:rFonts w:hint="eastAsia" w:ascii="方正仿宋_GBK" w:eastAsia="方正仿宋_GBK" w:cs="方正仿宋_GBK"/>
                <w:i w:val="0"/>
                <w:iCs w:val="0"/>
                <w:color w:val="auto"/>
                <w:kern w:val="0"/>
                <w:sz w:val="21"/>
                <w:szCs w:val="21"/>
                <w:u w:val="none"/>
                <w:lang w:val="en-US" w:eastAsia="zh-CN"/>
              </w:rPr>
              <w:br w:type="textWrapping"/>
            </w:r>
            <w:r>
              <w:rPr>
                <w:rFonts w:hint="eastAsia" w:ascii="方正仿宋_GBK" w:eastAsia="方正仿宋_GBK" w:cs="方正仿宋_GBK"/>
                <w:i w:val="0"/>
                <w:iCs w:val="0"/>
                <w:color w:val="auto"/>
                <w:kern w:val="0"/>
                <w:sz w:val="21"/>
                <w:szCs w:val="21"/>
                <w:u w:val="none"/>
                <w:lang w:val="en-US" w:eastAsia="zh-CN"/>
              </w:rPr>
              <w:t>鼓励医疗器械注册人、备案人、受托生产企业采用先进技术手段，建立信息化管理系统，加强对生产过程的管理。</w:t>
            </w:r>
          </w:p>
        </w:tc>
        <w:tc>
          <w:tcPr>
            <w:tcW w:w="86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1827DFDC">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7.2.1</w:t>
            </w:r>
          </w:p>
        </w:tc>
        <w:tc>
          <w:tcPr>
            <w:tcW w:w="5470" w:type="dxa"/>
            <w:tcBorders>
              <w:top w:val="single" w:color="000000" w:sz="4" w:space="0"/>
              <w:left w:val="single" w:color="000000" w:sz="4" w:space="0"/>
              <w:bottom w:val="single" w:color="000000" w:sz="4" w:space="0"/>
              <w:right w:val="single" w:color="000000" w:sz="4" w:space="0"/>
              <w:tl2br w:val="nil"/>
              <w:tr2bl w:val="nil"/>
            </w:tcBorders>
            <w:noWrap/>
          </w:tcPr>
          <w:p w14:paraId="0571CA7C">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企业建立全流程的信息化管理系统，实现生产管理过程的信息化。</w:t>
            </w:r>
          </w:p>
        </w:tc>
        <w:tc>
          <w:tcPr>
            <w:tcW w:w="8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1A92E689">
            <w:pPr>
              <w:keepNext w:val="0"/>
              <w:keepLines w:val="0"/>
              <w:pageBreakBefore w:val="0"/>
              <w:widowControl/>
              <w:suppressLineNumbers w:val="0"/>
              <w:kinsoku/>
              <w:wordWrap/>
              <w:overflowPunct/>
              <w:topLinePunct w:val="0"/>
              <w:autoSpaceDE/>
              <w:autoSpaceDN/>
              <w:bidi w:val="0"/>
              <w:adjustRightInd w:val="0"/>
              <w:snapToGrid w:val="0"/>
              <w:spacing w:line="320" w:lineRule="exact"/>
              <w:jc w:val="center"/>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1</w:t>
            </w:r>
          </w:p>
        </w:tc>
        <w:tc>
          <w:tcPr>
            <w:tcW w:w="8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16A47D67">
            <w:pPr>
              <w:keepNext w:val="0"/>
              <w:keepLines w:val="0"/>
              <w:pageBreakBefore w:val="0"/>
              <w:widowControl/>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p>
        </w:tc>
        <w:tc>
          <w:tcPr>
            <w:tcW w:w="78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4B25A697">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p>
        </w:tc>
      </w:tr>
      <w:tr w14:paraId="7B2DC0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1228"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24F941CC"/>
        </w:tc>
        <w:tc>
          <w:tcPr>
            <w:tcW w:w="1409"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4E43B022"/>
        </w:tc>
        <w:tc>
          <w:tcPr>
            <w:tcW w:w="4152"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072D66BE">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参与国际标准起草，或牵头制、修订国家标准或行业标准的。</w:t>
            </w:r>
          </w:p>
        </w:tc>
        <w:tc>
          <w:tcPr>
            <w:tcW w:w="863"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6954BAFD">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7.3.1</w:t>
            </w:r>
          </w:p>
        </w:tc>
        <w:tc>
          <w:tcPr>
            <w:tcW w:w="5470" w:type="dxa"/>
            <w:tcBorders>
              <w:top w:val="single" w:color="000000" w:sz="4" w:space="0"/>
              <w:left w:val="single" w:color="000000" w:sz="4" w:space="0"/>
              <w:bottom w:val="single" w:color="000000" w:sz="4" w:space="0"/>
              <w:right w:val="single" w:color="000000" w:sz="4" w:space="0"/>
              <w:tl2br w:val="nil"/>
              <w:tr2bl w:val="nil"/>
            </w:tcBorders>
            <w:noWrap/>
          </w:tcPr>
          <w:p w14:paraId="5F4B13C0">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企业参与国际标准起草的，得3分；</w:t>
            </w:r>
          </w:p>
        </w:tc>
        <w:tc>
          <w:tcPr>
            <w:tcW w:w="810"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2AAED78A">
            <w:pPr>
              <w:keepNext w:val="0"/>
              <w:keepLines w:val="0"/>
              <w:pageBreakBefore w:val="0"/>
              <w:widowControl/>
              <w:suppressLineNumbers w:val="0"/>
              <w:kinsoku/>
              <w:wordWrap/>
              <w:overflowPunct/>
              <w:topLinePunct w:val="0"/>
              <w:autoSpaceDE/>
              <w:autoSpaceDN/>
              <w:bidi w:val="0"/>
              <w:adjustRightInd w:val="0"/>
              <w:snapToGrid w:val="0"/>
              <w:spacing w:line="320" w:lineRule="exact"/>
              <w:jc w:val="center"/>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3</w:t>
            </w:r>
          </w:p>
        </w:tc>
        <w:tc>
          <w:tcPr>
            <w:tcW w:w="810"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2E0B85E2">
            <w:pPr>
              <w:keepNext w:val="0"/>
              <w:keepLines w:val="0"/>
              <w:pageBreakBefore w:val="0"/>
              <w:widowControl/>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p>
        </w:tc>
        <w:tc>
          <w:tcPr>
            <w:tcW w:w="783" w:type="dxa"/>
            <w:vMerge w:val="restart"/>
            <w:tcBorders>
              <w:top w:val="single" w:color="000000" w:sz="4" w:space="0"/>
              <w:left w:val="single" w:color="000000" w:sz="4" w:space="0"/>
              <w:bottom w:val="single" w:color="000000" w:sz="4" w:space="0"/>
              <w:right w:val="single" w:color="000000" w:sz="4" w:space="0"/>
              <w:tl2br w:val="nil"/>
              <w:tr2bl w:val="nil"/>
            </w:tcBorders>
            <w:noWrap/>
            <w:vAlign w:val="center"/>
          </w:tcPr>
          <w:p w14:paraId="782A734B">
            <w:pPr>
              <w:keepNext w:val="0"/>
              <w:keepLines w:val="0"/>
              <w:pageBreakBefore w:val="0"/>
              <w:widowControl/>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p>
        </w:tc>
      </w:tr>
      <w:tr w14:paraId="27AF2E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1228"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6A26E8ED"/>
        </w:tc>
        <w:tc>
          <w:tcPr>
            <w:tcW w:w="1409"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37E5DC97"/>
        </w:tc>
        <w:tc>
          <w:tcPr>
            <w:tcW w:w="4152"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08BF5240"/>
        </w:tc>
        <w:tc>
          <w:tcPr>
            <w:tcW w:w="863"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026B7938"/>
        </w:tc>
        <w:tc>
          <w:tcPr>
            <w:tcW w:w="5470" w:type="dxa"/>
            <w:tcBorders>
              <w:top w:val="single" w:color="000000" w:sz="4" w:space="0"/>
              <w:left w:val="single" w:color="000000" w:sz="4" w:space="0"/>
              <w:bottom w:val="single" w:color="000000" w:sz="4" w:space="0"/>
              <w:right w:val="single" w:color="000000" w:sz="4" w:space="0"/>
              <w:tl2br w:val="nil"/>
              <w:tr2bl w:val="nil"/>
            </w:tcBorders>
            <w:noWrap/>
          </w:tcPr>
          <w:p w14:paraId="67B032B7">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企业牵头制、修订国家标准、行业标准的，得2分；</w:t>
            </w:r>
          </w:p>
        </w:tc>
        <w:tc>
          <w:tcPr>
            <w:tcW w:w="810"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47E009B4"/>
        </w:tc>
        <w:tc>
          <w:tcPr>
            <w:tcW w:w="810"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64F2F1E9"/>
        </w:tc>
        <w:tc>
          <w:tcPr>
            <w:tcW w:w="783"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1F404B51"/>
        </w:tc>
      </w:tr>
      <w:tr w14:paraId="3336AF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1228"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23AC50B4"/>
        </w:tc>
        <w:tc>
          <w:tcPr>
            <w:tcW w:w="1409"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0CEA8279"/>
        </w:tc>
        <w:tc>
          <w:tcPr>
            <w:tcW w:w="4152"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1A6F4593"/>
        </w:tc>
        <w:tc>
          <w:tcPr>
            <w:tcW w:w="863"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6EBCCCBE"/>
        </w:tc>
        <w:tc>
          <w:tcPr>
            <w:tcW w:w="5470" w:type="dxa"/>
            <w:tcBorders>
              <w:top w:val="single" w:color="000000" w:sz="4" w:space="0"/>
              <w:left w:val="single" w:color="000000" w:sz="4" w:space="0"/>
              <w:bottom w:val="single" w:color="000000" w:sz="4" w:space="0"/>
              <w:right w:val="single" w:color="000000" w:sz="4" w:space="0"/>
              <w:tl2br w:val="nil"/>
              <w:tr2bl w:val="nil"/>
            </w:tcBorders>
            <w:noWrap/>
          </w:tcPr>
          <w:p w14:paraId="3051AEF4">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企业参与制、修订国家标准、行业标准的，得1分；</w:t>
            </w:r>
          </w:p>
        </w:tc>
        <w:tc>
          <w:tcPr>
            <w:tcW w:w="810"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069F853E"/>
        </w:tc>
        <w:tc>
          <w:tcPr>
            <w:tcW w:w="810"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02347181"/>
        </w:tc>
        <w:tc>
          <w:tcPr>
            <w:tcW w:w="783"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60B029B0"/>
        </w:tc>
      </w:tr>
      <w:tr w14:paraId="676560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1228"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76F44136"/>
        </w:tc>
        <w:tc>
          <w:tcPr>
            <w:tcW w:w="1409"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0667F367"/>
        </w:tc>
        <w:tc>
          <w:tcPr>
            <w:tcW w:w="4152"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21B8A9B6">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在全省医疗器械行业起到示范引领作用的。</w:t>
            </w:r>
          </w:p>
        </w:tc>
        <w:tc>
          <w:tcPr>
            <w:tcW w:w="86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2BA714C4">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7.4.1</w:t>
            </w:r>
          </w:p>
        </w:tc>
        <w:tc>
          <w:tcPr>
            <w:tcW w:w="5470" w:type="dxa"/>
            <w:tcBorders>
              <w:top w:val="single" w:color="000000" w:sz="4" w:space="0"/>
              <w:left w:val="single" w:color="000000" w:sz="4" w:space="0"/>
              <w:bottom w:val="single" w:color="000000" w:sz="4" w:space="0"/>
              <w:right w:val="single" w:color="000000" w:sz="4" w:space="0"/>
              <w:tl2br w:val="nil"/>
              <w:tr2bl w:val="nil"/>
            </w:tcBorders>
            <w:noWrap/>
          </w:tcPr>
          <w:p w14:paraId="6FE131C8">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在全省医疗器械行业起到示范引领作用的。</w:t>
            </w:r>
          </w:p>
        </w:tc>
        <w:tc>
          <w:tcPr>
            <w:tcW w:w="8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4D94102F">
            <w:pPr>
              <w:keepNext w:val="0"/>
              <w:keepLines w:val="0"/>
              <w:pageBreakBefore w:val="0"/>
              <w:widowControl/>
              <w:suppressLineNumbers w:val="0"/>
              <w:kinsoku/>
              <w:wordWrap/>
              <w:overflowPunct/>
              <w:topLinePunct w:val="0"/>
              <w:autoSpaceDE/>
              <w:autoSpaceDN/>
              <w:bidi w:val="0"/>
              <w:adjustRightInd w:val="0"/>
              <w:snapToGrid w:val="0"/>
              <w:spacing w:line="320" w:lineRule="exact"/>
              <w:jc w:val="center"/>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1</w:t>
            </w:r>
          </w:p>
        </w:tc>
        <w:tc>
          <w:tcPr>
            <w:tcW w:w="8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73DFDE6D">
            <w:pPr>
              <w:keepNext w:val="0"/>
              <w:keepLines w:val="0"/>
              <w:pageBreakBefore w:val="0"/>
              <w:widowControl/>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p>
        </w:tc>
        <w:tc>
          <w:tcPr>
            <w:tcW w:w="78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7DF14FC2">
            <w:pPr>
              <w:keepNext w:val="0"/>
              <w:keepLines w:val="0"/>
              <w:pageBreakBefore w:val="0"/>
              <w:widowControl/>
              <w:kinsoku/>
              <w:wordWrap/>
              <w:overflowPunct/>
              <w:topLinePunct w:val="0"/>
              <w:autoSpaceDE/>
              <w:autoSpaceDN/>
              <w:bidi w:val="0"/>
              <w:adjustRightInd w:val="0"/>
              <w:snapToGrid w:val="0"/>
              <w:spacing w:line="320" w:lineRule="exact"/>
              <w:textAlignment w:val="center"/>
              <w:rPr>
                <w:rFonts w:hint="eastAsia" w:ascii="方正仿宋_GBK" w:eastAsia="方正仿宋_GBK" w:cs="方正仿宋_GBK"/>
                <w:i w:val="0"/>
                <w:iCs w:val="0"/>
                <w:color w:val="auto"/>
                <w:kern w:val="0"/>
                <w:sz w:val="21"/>
                <w:szCs w:val="21"/>
                <w:u w:val="none"/>
              </w:rPr>
            </w:pPr>
          </w:p>
        </w:tc>
      </w:tr>
      <w:tr w14:paraId="6BED27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0" w:hRule="atLeast"/>
          <w:jc w:val="center"/>
        </w:trPr>
        <w:tc>
          <w:tcPr>
            <w:tcW w:w="1228"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35275EEB"/>
        </w:tc>
        <w:tc>
          <w:tcPr>
            <w:tcW w:w="1409"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36C85F4F"/>
        </w:tc>
        <w:tc>
          <w:tcPr>
            <w:tcW w:w="4152"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1AA839FB">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注册人应当能够依法承担医疗器械质量安全责任，鼓励通过购买商业保险等形式，建立与产品风险程度、市场规模和人身损害赔偿标准等因素相匹配的责任赔偿能力。</w:t>
            </w:r>
          </w:p>
        </w:tc>
        <w:tc>
          <w:tcPr>
            <w:tcW w:w="86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5A61A4B9">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7.5.1</w:t>
            </w:r>
          </w:p>
        </w:tc>
        <w:tc>
          <w:tcPr>
            <w:tcW w:w="547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33C7B38C">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企业已通过购买商业保险等形式，具备责任赔偿能力。</w:t>
            </w:r>
          </w:p>
        </w:tc>
        <w:tc>
          <w:tcPr>
            <w:tcW w:w="8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77124AC2">
            <w:pPr>
              <w:keepNext w:val="0"/>
              <w:keepLines w:val="0"/>
              <w:pageBreakBefore w:val="0"/>
              <w:widowControl/>
              <w:suppressLineNumbers w:val="0"/>
              <w:kinsoku/>
              <w:wordWrap/>
              <w:overflowPunct/>
              <w:topLinePunct w:val="0"/>
              <w:autoSpaceDE/>
              <w:autoSpaceDN/>
              <w:bidi w:val="0"/>
              <w:adjustRightInd w:val="0"/>
              <w:snapToGrid w:val="0"/>
              <w:spacing w:line="320" w:lineRule="exact"/>
              <w:jc w:val="center"/>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1</w:t>
            </w:r>
          </w:p>
        </w:tc>
        <w:tc>
          <w:tcPr>
            <w:tcW w:w="8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25FF1A7F">
            <w:pPr>
              <w:keepNext w:val="0"/>
              <w:keepLines w:val="0"/>
              <w:pageBreakBefore w:val="0"/>
              <w:widowControl/>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p>
        </w:tc>
        <w:tc>
          <w:tcPr>
            <w:tcW w:w="78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38AB9780">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p>
        </w:tc>
      </w:tr>
      <w:tr w14:paraId="70F871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1228"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545CF2B1"/>
        </w:tc>
        <w:tc>
          <w:tcPr>
            <w:tcW w:w="1409"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62541C48"/>
        </w:tc>
        <w:tc>
          <w:tcPr>
            <w:tcW w:w="4152"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794D2999">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通过质量管理体系数字化评级及智能制造能力成熟度标准评估。</w:t>
            </w:r>
          </w:p>
        </w:tc>
        <w:tc>
          <w:tcPr>
            <w:tcW w:w="86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62447A81">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7.6.1</w:t>
            </w:r>
          </w:p>
        </w:tc>
        <w:tc>
          <w:tcPr>
            <w:tcW w:w="547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47AC37F0">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通过质量管理体系数字化评级及智能制造能力成熟度标准评估。</w:t>
            </w:r>
          </w:p>
        </w:tc>
        <w:tc>
          <w:tcPr>
            <w:tcW w:w="8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39722151">
            <w:pPr>
              <w:keepNext w:val="0"/>
              <w:keepLines w:val="0"/>
              <w:pageBreakBefore w:val="0"/>
              <w:widowControl/>
              <w:suppressLineNumbers w:val="0"/>
              <w:kinsoku/>
              <w:wordWrap/>
              <w:overflowPunct/>
              <w:topLinePunct w:val="0"/>
              <w:autoSpaceDE/>
              <w:autoSpaceDN/>
              <w:bidi w:val="0"/>
              <w:adjustRightInd w:val="0"/>
              <w:snapToGrid w:val="0"/>
              <w:spacing w:line="320" w:lineRule="exact"/>
              <w:jc w:val="center"/>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1</w:t>
            </w:r>
          </w:p>
        </w:tc>
        <w:tc>
          <w:tcPr>
            <w:tcW w:w="8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54C7B72F">
            <w:pPr>
              <w:keepNext w:val="0"/>
              <w:keepLines w:val="0"/>
              <w:pageBreakBefore w:val="0"/>
              <w:widowControl/>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p>
        </w:tc>
        <w:tc>
          <w:tcPr>
            <w:tcW w:w="78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4A1AD1C6">
            <w:pPr>
              <w:keepNext w:val="0"/>
              <w:keepLines w:val="0"/>
              <w:pageBreakBefore w:val="0"/>
              <w:widowControl/>
              <w:kinsoku/>
              <w:wordWrap/>
              <w:overflowPunct/>
              <w:topLinePunct w:val="0"/>
              <w:autoSpaceDE/>
              <w:autoSpaceDN/>
              <w:bidi w:val="0"/>
              <w:adjustRightInd w:val="0"/>
              <w:snapToGrid w:val="0"/>
              <w:spacing w:line="320" w:lineRule="exact"/>
              <w:textAlignment w:val="center"/>
              <w:rPr>
                <w:rFonts w:hint="eastAsia" w:ascii="方正仿宋_GBK" w:eastAsia="方正仿宋_GBK" w:cs="方正仿宋_GBK"/>
                <w:i w:val="0"/>
                <w:iCs w:val="0"/>
                <w:color w:val="auto"/>
                <w:kern w:val="0"/>
                <w:sz w:val="21"/>
                <w:szCs w:val="21"/>
                <w:u w:val="none"/>
              </w:rPr>
            </w:pPr>
          </w:p>
        </w:tc>
      </w:tr>
      <w:tr w14:paraId="0D1484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1228"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1260E840"/>
        </w:tc>
        <w:tc>
          <w:tcPr>
            <w:tcW w:w="1409"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0EF8F2F7"/>
        </w:tc>
        <w:tc>
          <w:tcPr>
            <w:tcW w:w="4152"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7045BFDE">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实验室取得CNAS等认证。</w:t>
            </w:r>
          </w:p>
        </w:tc>
        <w:tc>
          <w:tcPr>
            <w:tcW w:w="86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7B545118">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7.7.1</w:t>
            </w:r>
          </w:p>
        </w:tc>
        <w:tc>
          <w:tcPr>
            <w:tcW w:w="5470" w:type="dxa"/>
            <w:tcBorders>
              <w:top w:val="single" w:color="000000" w:sz="4" w:space="0"/>
              <w:left w:val="single" w:color="000000" w:sz="4" w:space="0"/>
              <w:bottom w:val="single" w:color="000000" w:sz="4" w:space="0"/>
              <w:right w:val="single" w:color="000000" w:sz="4" w:space="0"/>
              <w:tl2br w:val="nil"/>
              <w:tr2bl w:val="nil"/>
            </w:tcBorders>
            <w:noWrap/>
          </w:tcPr>
          <w:p w14:paraId="2DBA43CC">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lang w:val="en-US"/>
              </w:rPr>
            </w:pPr>
            <w:r>
              <w:rPr>
                <w:rFonts w:hint="eastAsia" w:ascii="方正仿宋_GBK" w:eastAsia="方正仿宋_GBK" w:cs="方正仿宋_GBK"/>
                <w:i w:val="0"/>
                <w:iCs w:val="0"/>
                <w:color w:val="auto"/>
                <w:kern w:val="0"/>
                <w:sz w:val="21"/>
                <w:szCs w:val="21"/>
                <w:u w:val="none"/>
                <w:lang w:val="en-US" w:eastAsia="zh-CN"/>
              </w:rPr>
              <w:t>企业当年实验室取得CNAS等认证。其他认证情形。</w:t>
            </w:r>
          </w:p>
        </w:tc>
        <w:tc>
          <w:tcPr>
            <w:tcW w:w="8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76EC537A">
            <w:pPr>
              <w:keepNext w:val="0"/>
              <w:keepLines w:val="0"/>
              <w:pageBreakBefore w:val="0"/>
              <w:widowControl/>
              <w:suppressLineNumbers w:val="0"/>
              <w:kinsoku/>
              <w:wordWrap/>
              <w:overflowPunct/>
              <w:topLinePunct w:val="0"/>
              <w:autoSpaceDE/>
              <w:autoSpaceDN/>
              <w:bidi w:val="0"/>
              <w:adjustRightInd w:val="0"/>
              <w:snapToGrid w:val="0"/>
              <w:spacing w:line="320" w:lineRule="exact"/>
              <w:jc w:val="center"/>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1</w:t>
            </w:r>
          </w:p>
        </w:tc>
        <w:tc>
          <w:tcPr>
            <w:tcW w:w="8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28BE92BE">
            <w:pPr>
              <w:keepNext w:val="0"/>
              <w:keepLines w:val="0"/>
              <w:pageBreakBefore w:val="0"/>
              <w:widowControl/>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p>
        </w:tc>
        <w:tc>
          <w:tcPr>
            <w:tcW w:w="78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24E898B2">
            <w:pPr>
              <w:keepNext w:val="0"/>
              <w:keepLines w:val="0"/>
              <w:pageBreakBefore w:val="0"/>
              <w:widowControl/>
              <w:kinsoku/>
              <w:wordWrap/>
              <w:overflowPunct/>
              <w:topLinePunct w:val="0"/>
              <w:autoSpaceDE/>
              <w:autoSpaceDN/>
              <w:bidi w:val="0"/>
              <w:adjustRightInd w:val="0"/>
              <w:snapToGrid w:val="0"/>
              <w:spacing w:line="320" w:lineRule="exact"/>
              <w:textAlignment w:val="center"/>
              <w:rPr>
                <w:rFonts w:hint="eastAsia" w:ascii="方正仿宋_GBK" w:eastAsia="方正仿宋_GBK" w:cs="方正仿宋_GBK"/>
                <w:i w:val="0"/>
                <w:iCs w:val="0"/>
                <w:color w:val="auto"/>
                <w:kern w:val="0"/>
                <w:sz w:val="21"/>
                <w:szCs w:val="21"/>
                <w:u w:val="none"/>
              </w:rPr>
            </w:pPr>
          </w:p>
        </w:tc>
      </w:tr>
      <w:tr w14:paraId="27C700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1228"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7D778A86"/>
        </w:tc>
        <w:tc>
          <w:tcPr>
            <w:tcW w:w="1409" w:type="dxa"/>
            <w:vMerge w:val="continue"/>
            <w:tcBorders>
              <w:top w:val="single" w:color="000000" w:sz="4" w:space="0"/>
              <w:left w:val="single" w:color="000000" w:sz="4" w:space="0"/>
              <w:bottom w:val="single" w:color="000000" w:sz="4" w:space="0"/>
              <w:right w:val="single" w:color="000000" w:sz="4" w:space="0"/>
              <w:tl2br w:val="nil"/>
              <w:tr2bl w:val="nil"/>
            </w:tcBorders>
            <w:noWrap/>
            <w:vAlign w:val="center"/>
          </w:tcPr>
          <w:p w14:paraId="4D99D55A"/>
        </w:tc>
        <w:tc>
          <w:tcPr>
            <w:tcW w:w="4152"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760A3A86">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获得省级以上政府部门奖励或嘉奖的。</w:t>
            </w:r>
          </w:p>
        </w:tc>
        <w:tc>
          <w:tcPr>
            <w:tcW w:w="86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28122B7A">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7.8.1</w:t>
            </w:r>
          </w:p>
        </w:tc>
        <w:tc>
          <w:tcPr>
            <w:tcW w:w="5470" w:type="dxa"/>
            <w:tcBorders>
              <w:top w:val="single" w:color="000000" w:sz="4" w:space="0"/>
              <w:left w:val="single" w:color="000000" w:sz="4" w:space="0"/>
              <w:bottom w:val="single" w:color="000000" w:sz="4" w:space="0"/>
              <w:right w:val="single" w:color="000000" w:sz="4" w:space="0"/>
              <w:tl2br w:val="nil"/>
              <w:tr2bl w:val="nil"/>
            </w:tcBorders>
            <w:noWrap/>
          </w:tcPr>
          <w:p w14:paraId="73B2CA60">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获得省级以上政府部门奖励或嘉奖的</w:t>
            </w:r>
          </w:p>
        </w:tc>
        <w:tc>
          <w:tcPr>
            <w:tcW w:w="8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7CE3F9C9">
            <w:pPr>
              <w:keepNext w:val="0"/>
              <w:keepLines w:val="0"/>
              <w:pageBreakBefore w:val="0"/>
              <w:widowControl/>
              <w:suppressLineNumbers w:val="0"/>
              <w:kinsoku/>
              <w:wordWrap/>
              <w:overflowPunct/>
              <w:topLinePunct w:val="0"/>
              <w:autoSpaceDE/>
              <w:autoSpaceDN/>
              <w:bidi w:val="0"/>
              <w:adjustRightInd w:val="0"/>
              <w:snapToGrid w:val="0"/>
              <w:spacing w:line="320" w:lineRule="exact"/>
              <w:jc w:val="center"/>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1</w:t>
            </w:r>
          </w:p>
        </w:tc>
        <w:tc>
          <w:tcPr>
            <w:tcW w:w="810"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72F17BAC">
            <w:pPr>
              <w:keepNext w:val="0"/>
              <w:keepLines w:val="0"/>
              <w:pageBreakBefore w:val="0"/>
              <w:widowControl/>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p>
        </w:tc>
        <w:tc>
          <w:tcPr>
            <w:tcW w:w="78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50F1C3B6">
            <w:pPr>
              <w:keepNext w:val="0"/>
              <w:keepLines w:val="0"/>
              <w:pageBreakBefore w:val="0"/>
              <w:widowControl/>
              <w:kinsoku/>
              <w:wordWrap/>
              <w:overflowPunct/>
              <w:topLinePunct w:val="0"/>
              <w:autoSpaceDE/>
              <w:autoSpaceDN/>
              <w:bidi w:val="0"/>
              <w:adjustRightInd w:val="0"/>
              <w:snapToGrid w:val="0"/>
              <w:spacing w:line="320" w:lineRule="exact"/>
              <w:textAlignment w:val="center"/>
              <w:rPr>
                <w:rFonts w:hint="eastAsia" w:ascii="方正仿宋_GBK" w:eastAsia="方正仿宋_GBK" w:cs="方正仿宋_GBK"/>
                <w:i w:val="0"/>
                <w:iCs w:val="0"/>
                <w:color w:val="auto"/>
                <w:kern w:val="0"/>
                <w:sz w:val="21"/>
                <w:szCs w:val="21"/>
                <w:u w:val="none"/>
              </w:rPr>
            </w:pPr>
          </w:p>
        </w:tc>
      </w:tr>
    </w:tbl>
    <w:p w14:paraId="530C40DF">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20" w:lineRule="exact"/>
        <w:jc w:val="both"/>
        <w:textAlignment w:val="center"/>
        <w:rPr>
          <w:rFonts w:hint="eastAsia" w:ascii="方正仿宋_GBK" w:eastAsia="方正仿宋_GBK" w:cs="方正仿宋_GBK"/>
          <w:i w:val="0"/>
          <w:iCs w:val="0"/>
          <w:color w:val="auto"/>
          <w:kern w:val="0"/>
          <w:sz w:val="21"/>
          <w:szCs w:val="21"/>
          <w:u w:val="none"/>
          <w:lang w:val="en-US" w:eastAsia="zh-CN"/>
        </w:rPr>
      </w:pPr>
    </w:p>
    <w:p w14:paraId="4C4C193D">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20" w:lineRule="exact"/>
        <w:jc w:val="both"/>
        <w:textAlignment w:val="center"/>
        <w:rPr>
          <w:rFonts w:hint="eastAsia" w:ascii="方正仿宋_GBK" w:eastAsia="方正仿宋_GBK" w:cs="方正仿宋_GBK"/>
          <w:i w:val="0"/>
          <w:iCs w:val="0"/>
          <w:color w:val="auto"/>
          <w:kern w:val="0"/>
          <w:sz w:val="21"/>
          <w:szCs w:val="21"/>
          <w:u w:val="none"/>
          <w:lang w:val="en-US" w:eastAsia="zh-CN"/>
        </w:rPr>
      </w:pPr>
    </w:p>
    <w:p w14:paraId="76CC4A1C">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20" w:lineRule="exact"/>
        <w:jc w:val="both"/>
        <w:textAlignment w:val="center"/>
        <w:rPr>
          <w:rFonts w:hint="eastAsia" w:ascii="方正仿宋_GBK" w:eastAsia="方正仿宋_GBK" w:cs="方正仿宋_GBK"/>
          <w:i w:val="0"/>
          <w:iCs w:val="0"/>
          <w:color w:val="auto"/>
          <w:kern w:val="0"/>
          <w:sz w:val="21"/>
          <w:szCs w:val="21"/>
          <w:u w:val="none"/>
          <w:lang w:val="en-US" w:eastAsia="zh-CN"/>
        </w:rPr>
      </w:pPr>
    </w:p>
    <w:p w14:paraId="3A4C05B9">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320" w:lineRule="exact"/>
        <w:jc w:val="both"/>
        <w:textAlignment w:val="center"/>
        <w:rPr>
          <w:rFonts w:hint="eastAsia" w:ascii="方正仿宋_GBK" w:eastAsia="方正仿宋_GBK" w:cs="方正仿宋_GBK"/>
          <w:i w:val="0"/>
          <w:iCs w:val="0"/>
          <w:color w:val="auto"/>
          <w:kern w:val="0"/>
          <w:sz w:val="21"/>
          <w:szCs w:val="21"/>
          <w:u w:val="none"/>
          <w:lang w:val="en-US" w:eastAsia="zh-CN"/>
        </w:rPr>
      </w:pPr>
    </w:p>
    <w:p w14:paraId="2E80A312">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0" w:lineRule="exact"/>
        <w:jc w:val="both"/>
        <w:textAlignment w:val="center"/>
        <w:rPr>
          <w:rFonts w:hint="eastAsia" w:ascii="方正仿宋_GBK" w:eastAsia="方正仿宋_GBK" w:cs="方正仿宋_GBK"/>
          <w:i w:val="0"/>
          <w:iCs w:val="0"/>
          <w:color w:val="auto"/>
          <w:kern w:val="0"/>
          <w:sz w:val="32"/>
          <w:szCs w:val="32"/>
          <w:u w:val="none"/>
          <w:lang w:val="en-US" w:eastAsia="zh-CN"/>
        </w:rPr>
      </w:pPr>
      <w:r>
        <w:rPr>
          <w:rFonts w:hint="eastAsia" w:ascii="方正仿宋_GBK" w:eastAsia="方正仿宋_GBK" w:cs="方正仿宋_GBK"/>
          <w:i w:val="0"/>
          <w:iCs w:val="0"/>
          <w:color w:val="auto"/>
          <w:kern w:val="0"/>
          <w:sz w:val="32"/>
          <w:szCs w:val="32"/>
          <w:u w:val="none"/>
          <w:lang w:val="en-US" w:eastAsia="zh-CN"/>
        </w:rPr>
        <w:br w:type="page"/>
      </w:r>
      <w:r>
        <w:rPr>
          <w:rFonts w:hint="eastAsia" w:ascii="方正仿宋_GBK" w:eastAsia="方正仿宋_GBK" w:cs="方正仿宋_GBK"/>
          <w:i w:val="0"/>
          <w:iCs w:val="0"/>
          <w:color w:val="auto"/>
          <w:kern w:val="0"/>
          <w:sz w:val="32"/>
          <w:szCs w:val="32"/>
          <w:u w:val="none"/>
          <w:lang w:val="en-US" w:eastAsia="zh-CN"/>
        </w:rPr>
        <w:t>分值情况说明：</w:t>
      </w:r>
    </w:p>
    <w:tbl>
      <w:tblPr>
        <w:tblStyle w:val="3"/>
        <w:tblW w:w="14101"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51"/>
        <w:gridCol w:w="2012"/>
        <w:gridCol w:w="1475"/>
        <w:gridCol w:w="7663"/>
      </w:tblGrid>
      <w:tr w14:paraId="00AF7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14101" w:type="dxa"/>
            <w:gridSpan w:val="4"/>
            <w:tcBorders>
              <w:top w:val="single" w:color="auto" w:sz="4" w:space="0"/>
              <w:left w:val="single" w:color="auto" w:sz="4" w:space="0"/>
              <w:bottom w:val="single" w:color="auto" w:sz="4" w:space="0"/>
              <w:right w:val="single" w:color="auto" w:sz="4" w:space="0"/>
            </w:tcBorders>
            <w:noWrap/>
            <w:vAlign w:val="center"/>
          </w:tcPr>
          <w:p w14:paraId="710F4C6C">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分值情况</w:t>
            </w:r>
          </w:p>
        </w:tc>
      </w:tr>
      <w:tr w14:paraId="5AD6D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2951" w:type="dxa"/>
            <w:tcBorders>
              <w:top w:val="single" w:color="auto" w:sz="4" w:space="0"/>
              <w:left w:val="single" w:color="auto" w:sz="4" w:space="0"/>
              <w:bottom w:val="single" w:color="auto" w:sz="4" w:space="0"/>
              <w:right w:val="single" w:color="auto" w:sz="4" w:space="0"/>
            </w:tcBorders>
            <w:noWrap/>
            <w:vAlign w:val="center"/>
          </w:tcPr>
          <w:p w14:paraId="7C76B253">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章节</w:t>
            </w:r>
          </w:p>
        </w:tc>
        <w:tc>
          <w:tcPr>
            <w:tcW w:w="2012" w:type="dxa"/>
            <w:tcBorders>
              <w:top w:val="single" w:color="auto" w:sz="4" w:space="0"/>
              <w:left w:val="single" w:color="auto" w:sz="4" w:space="0"/>
              <w:bottom w:val="single" w:color="auto" w:sz="4" w:space="0"/>
              <w:right w:val="single" w:color="auto" w:sz="4" w:space="0"/>
            </w:tcBorders>
            <w:noWrap/>
            <w:vAlign w:val="center"/>
          </w:tcPr>
          <w:p w14:paraId="49281ADB">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条款数目</w:t>
            </w:r>
          </w:p>
        </w:tc>
        <w:tc>
          <w:tcPr>
            <w:tcW w:w="1475" w:type="dxa"/>
            <w:tcBorders>
              <w:top w:val="single" w:color="auto" w:sz="4" w:space="0"/>
              <w:left w:val="single" w:color="auto" w:sz="4" w:space="0"/>
              <w:bottom w:val="single" w:color="auto" w:sz="4" w:space="0"/>
              <w:right w:val="single" w:color="auto" w:sz="4" w:space="0"/>
            </w:tcBorders>
            <w:noWrap/>
            <w:vAlign w:val="center"/>
          </w:tcPr>
          <w:p w14:paraId="3518C593">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章节总分</w:t>
            </w:r>
          </w:p>
        </w:tc>
        <w:tc>
          <w:tcPr>
            <w:tcW w:w="7663" w:type="dxa"/>
            <w:tcBorders>
              <w:top w:val="single" w:color="auto" w:sz="4" w:space="0"/>
              <w:left w:val="single" w:color="auto" w:sz="4" w:space="0"/>
              <w:bottom w:val="single" w:color="auto" w:sz="4" w:space="0"/>
              <w:right w:val="single" w:color="auto" w:sz="4" w:space="0"/>
            </w:tcBorders>
            <w:noWrap/>
            <w:vAlign w:val="center"/>
          </w:tcPr>
          <w:p w14:paraId="43335698">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备注</w:t>
            </w:r>
          </w:p>
        </w:tc>
      </w:tr>
      <w:tr w14:paraId="72A42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2951" w:type="dxa"/>
            <w:tcBorders>
              <w:top w:val="single" w:color="auto" w:sz="4" w:space="0"/>
              <w:left w:val="single" w:color="auto" w:sz="4" w:space="0"/>
              <w:bottom w:val="single" w:color="auto" w:sz="4" w:space="0"/>
              <w:right w:val="single" w:color="auto" w:sz="4" w:space="0"/>
            </w:tcBorders>
            <w:noWrap/>
            <w:vAlign w:val="center"/>
          </w:tcPr>
          <w:p w14:paraId="5D560E30">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一质量安全关键岗位要求</w:t>
            </w:r>
          </w:p>
        </w:tc>
        <w:tc>
          <w:tcPr>
            <w:tcW w:w="2012" w:type="dxa"/>
            <w:tcBorders>
              <w:top w:val="single" w:color="auto" w:sz="4" w:space="0"/>
              <w:left w:val="single" w:color="auto" w:sz="4" w:space="0"/>
              <w:bottom w:val="single" w:color="auto" w:sz="4" w:space="0"/>
              <w:right w:val="single" w:color="auto" w:sz="4" w:space="0"/>
            </w:tcBorders>
            <w:noWrap/>
            <w:vAlign w:val="center"/>
          </w:tcPr>
          <w:p w14:paraId="5845512A">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13</w:t>
            </w:r>
          </w:p>
        </w:tc>
        <w:tc>
          <w:tcPr>
            <w:tcW w:w="1475" w:type="dxa"/>
            <w:tcBorders>
              <w:top w:val="single" w:color="auto" w:sz="4" w:space="0"/>
              <w:left w:val="single" w:color="auto" w:sz="4" w:space="0"/>
              <w:bottom w:val="single" w:color="auto" w:sz="4" w:space="0"/>
              <w:right w:val="single" w:color="auto" w:sz="4" w:space="0"/>
            </w:tcBorders>
            <w:noWrap/>
            <w:vAlign w:val="center"/>
          </w:tcPr>
          <w:p w14:paraId="7E517F30">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48</w:t>
            </w:r>
          </w:p>
        </w:tc>
        <w:tc>
          <w:tcPr>
            <w:tcW w:w="7663" w:type="dxa"/>
            <w:tcBorders>
              <w:top w:val="single" w:color="auto" w:sz="4" w:space="0"/>
              <w:left w:val="single" w:color="auto" w:sz="4" w:space="0"/>
              <w:bottom w:val="single" w:color="auto" w:sz="4" w:space="0"/>
              <w:right w:val="single" w:color="auto" w:sz="4" w:space="0"/>
            </w:tcBorders>
            <w:noWrap/>
            <w:vAlign w:val="center"/>
          </w:tcPr>
          <w:p w14:paraId="2FE20983">
            <w:pPr>
              <w:keepNext w:val="0"/>
              <w:keepLines w:val="0"/>
              <w:pageBreakBefore w:val="0"/>
              <w:widowControl/>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p>
        </w:tc>
      </w:tr>
      <w:tr w14:paraId="77C25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2951" w:type="dxa"/>
            <w:tcBorders>
              <w:top w:val="single" w:color="auto" w:sz="4" w:space="0"/>
              <w:left w:val="single" w:color="auto" w:sz="4" w:space="0"/>
              <w:bottom w:val="single" w:color="auto" w:sz="4" w:space="0"/>
              <w:right w:val="single" w:color="auto" w:sz="4" w:space="0"/>
            </w:tcBorders>
            <w:noWrap/>
            <w:vAlign w:val="center"/>
          </w:tcPr>
          <w:p w14:paraId="6AAA581A">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二质量管控</w:t>
            </w:r>
          </w:p>
        </w:tc>
        <w:tc>
          <w:tcPr>
            <w:tcW w:w="2012" w:type="dxa"/>
            <w:tcBorders>
              <w:top w:val="single" w:color="auto" w:sz="4" w:space="0"/>
              <w:left w:val="single" w:color="auto" w:sz="4" w:space="0"/>
              <w:bottom w:val="single" w:color="auto" w:sz="4" w:space="0"/>
              <w:right w:val="single" w:color="auto" w:sz="4" w:space="0"/>
            </w:tcBorders>
            <w:noWrap/>
            <w:vAlign w:val="center"/>
          </w:tcPr>
          <w:p w14:paraId="10BBBFCD">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11</w:t>
            </w:r>
          </w:p>
        </w:tc>
        <w:tc>
          <w:tcPr>
            <w:tcW w:w="1475" w:type="dxa"/>
            <w:tcBorders>
              <w:top w:val="single" w:color="auto" w:sz="4" w:space="0"/>
              <w:left w:val="single" w:color="auto" w:sz="4" w:space="0"/>
              <w:bottom w:val="single" w:color="auto" w:sz="4" w:space="0"/>
              <w:right w:val="single" w:color="auto" w:sz="4" w:space="0"/>
            </w:tcBorders>
            <w:noWrap/>
            <w:vAlign w:val="center"/>
          </w:tcPr>
          <w:p w14:paraId="5DCF1ACA">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22+15</w:t>
            </w:r>
          </w:p>
        </w:tc>
        <w:tc>
          <w:tcPr>
            <w:tcW w:w="7663" w:type="dxa"/>
            <w:tcBorders>
              <w:top w:val="single" w:color="auto" w:sz="4" w:space="0"/>
              <w:left w:val="single" w:color="auto" w:sz="4" w:space="0"/>
              <w:bottom w:val="single" w:color="auto" w:sz="4" w:space="0"/>
              <w:right w:val="single" w:color="auto" w:sz="4" w:space="0"/>
            </w:tcBorders>
            <w:noWrap/>
            <w:vAlign w:val="center"/>
          </w:tcPr>
          <w:p w14:paraId="4B4DA7C2">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15分委托生产，适用情形得分</w:t>
            </w:r>
          </w:p>
        </w:tc>
      </w:tr>
      <w:tr w14:paraId="03F01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2951" w:type="dxa"/>
            <w:tcBorders>
              <w:top w:val="single" w:color="auto" w:sz="4" w:space="0"/>
              <w:left w:val="single" w:color="auto" w:sz="4" w:space="0"/>
              <w:bottom w:val="single" w:color="auto" w:sz="4" w:space="0"/>
              <w:right w:val="single" w:color="auto" w:sz="4" w:space="0"/>
            </w:tcBorders>
            <w:noWrap/>
            <w:vAlign w:val="center"/>
          </w:tcPr>
          <w:p w14:paraId="405A5390">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三报告</w:t>
            </w:r>
          </w:p>
        </w:tc>
        <w:tc>
          <w:tcPr>
            <w:tcW w:w="2012" w:type="dxa"/>
            <w:tcBorders>
              <w:top w:val="single" w:color="auto" w:sz="4" w:space="0"/>
              <w:left w:val="single" w:color="auto" w:sz="4" w:space="0"/>
              <w:bottom w:val="single" w:color="auto" w:sz="4" w:space="0"/>
              <w:right w:val="single" w:color="auto" w:sz="4" w:space="0"/>
            </w:tcBorders>
            <w:noWrap/>
            <w:vAlign w:val="center"/>
          </w:tcPr>
          <w:p w14:paraId="6DB0D299">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1</w:t>
            </w:r>
          </w:p>
        </w:tc>
        <w:tc>
          <w:tcPr>
            <w:tcW w:w="1475" w:type="dxa"/>
            <w:tcBorders>
              <w:top w:val="single" w:color="auto" w:sz="4" w:space="0"/>
              <w:left w:val="single" w:color="auto" w:sz="4" w:space="0"/>
              <w:bottom w:val="single" w:color="auto" w:sz="4" w:space="0"/>
              <w:right w:val="single" w:color="auto" w:sz="4" w:space="0"/>
            </w:tcBorders>
            <w:noWrap/>
            <w:vAlign w:val="center"/>
          </w:tcPr>
          <w:p w14:paraId="3F1D547B">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9</w:t>
            </w:r>
          </w:p>
        </w:tc>
        <w:tc>
          <w:tcPr>
            <w:tcW w:w="7663" w:type="dxa"/>
            <w:tcBorders>
              <w:top w:val="single" w:color="auto" w:sz="4" w:space="0"/>
              <w:left w:val="single" w:color="auto" w:sz="4" w:space="0"/>
              <w:bottom w:val="single" w:color="auto" w:sz="4" w:space="0"/>
              <w:right w:val="single" w:color="auto" w:sz="4" w:space="0"/>
            </w:tcBorders>
            <w:noWrap/>
            <w:vAlign w:val="center"/>
          </w:tcPr>
          <w:p w14:paraId="19AD00FD">
            <w:pPr>
              <w:keepNext w:val="0"/>
              <w:keepLines w:val="0"/>
              <w:pageBreakBefore w:val="0"/>
              <w:widowControl/>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p>
        </w:tc>
      </w:tr>
      <w:tr w14:paraId="6C662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2951" w:type="dxa"/>
            <w:tcBorders>
              <w:top w:val="single" w:color="auto" w:sz="4" w:space="0"/>
              <w:left w:val="single" w:color="auto" w:sz="4" w:space="0"/>
              <w:bottom w:val="single" w:color="auto" w:sz="4" w:space="0"/>
              <w:right w:val="single" w:color="auto" w:sz="4" w:space="0"/>
            </w:tcBorders>
            <w:noWrap/>
            <w:vAlign w:val="center"/>
          </w:tcPr>
          <w:p w14:paraId="091A5C3E">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四履职机制</w:t>
            </w:r>
          </w:p>
        </w:tc>
        <w:tc>
          <w:tcPr>
            <w:tcW w:w="2012" w:type="dxa"/>
            <w:tcBorders>
              <w:top w:val="single" w:color="auto" w:sz="4" w:space="0"/>
              <w:left w:val="single" w:color="auto" w:sz="4" w:space="0"/>
              <w:bottom w:val="single" w:color="auto" w:sz="4" w:space="0"/>
              <w:right w:val="single" w:color="auto" w:sz="4" w:space="0"/>
            </w:tcBorders>
            <w:noWrap/>
            <w:vAlign w:val="center"/>
          </w:tcPr>
          <w:p w14:paraId="3B7CF1F6">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3</w:t>
            </w:r>
          </w:p>
        </w:tc>
        <w:tc>
          <w:tcPr>
            <w:tcW w:w="1475" w:type="dxa"/>
            <w:tcBorders>
              <w:top w:val="single" w:color="auto" w:sz="4" w:space="0"/>
              <w:left w:val="single" w:color="auto" w:sz="4" w:space="0"/>
              <w:bottom w:val="single" w:color="auto" w:sz="4" w:space="0"/>
              <w:right w:val="single" w:color="auto" w:sz="4" w:space="0"/>
            </w:tcBorders>
            <w:noWrap/>
            <w:vAlign w:val="center"/>
          </w:tcPr>
          <w:p w14:paraId="17E91A66">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11</w:t>
            </w:r>
          </w:p>
        </w:tc>
        <w:tc>
          <w:tcPr>
            <w:tcW w:w="7663" w:type="dxa"/>
            <w:tcBorders>
              <w:top w:val="single" w:color="auto" w:sz="4" w:space="0"/>
              <w:left w:val="single" w:color="auto" w:sz="4" w:space="0"/>
              <w:bottom w:val="single" w:color="auto" w:sz="4" w:space="0"/>
              <w:right w:val="single" w:color="auto" w:sz="4" w:space="0"/>
            </w:tcBorders>
            <w:noWrap/>
            <w:vAlign w:val="center"/>
          </w:tcPr>
          <w:p w14:paraId="7F90F44F">
            <w:pPr>
              <w:keepNext w:val="0"/>
              <w:keepLines w:val="0"/>
              <w:pageBreakBefore w:val="0"/>
              <w:widowControl/>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p>
        </w:tc>
      </w:tr>
      <w:tr w14:paraId="4AB31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2951" w:type="dxa"/>
            <w:tcBorders>
              <w:top w:val="single" w:color="auto" w:sz="4" w:space="0"/>
              <w:left w:val="single" w:color="auto" w:sz="4" w:space="0"/>
              <w:bottom w:val="single" w:color="auto" w:sz="4" w:space="0"/>
              <w:right w:val="single" w:color="auto" w:sz="4" w:space="0"/>
            </w:tcBorders>
            <w:noWrap/>
            <w:vAlign w:val="center"/>
          </w:tcPr>
          <w:p w14:paraId="5D9561D4">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五上市后研究</w:t>
            </w:r>
          </w:p>
        </w:tc>
        <w:tc>
          <w:tcPr>
            <w:tcW w:w="2012" w:type="dxa"/>
            <w:tcBorders>
              <w:top w:val="single" w:color="auto" w:sz="4" w:space="0"/>
              <w:left w:val="single" w:color="auto" w:sz="4" w:space="0"/>
              <w:bottom w:val="single" w:color="auto" w:sz="4" w:space="0"/>
              <w:right w:val="single" w:color="auto" w:sz="4" w:space="0"/>
            </w:tcBorders>
            <w:noWrap/>
            <w:vAlign w:val="center"/>
          </w:tcPr>
          <w:p w14:paraId="0FC7326E">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1</w:t>
            </w:r>
          </w:p>
        </w:tc>
        <w:tc>
          <w:tcPr>
            <w:tcW w:w="1475" w:type="dxa"/>
            <w:tcBorders>
              <w:top w:val="single" w:color="auto" w:sz="4" w:space="0"/>
              <w:left w:val="single" w:color="auto" w:sz="4" w:space="0"/>
              <w:bottom w:val="single" w:color="auto" w:sz="4" w:space="0"/>
              <w:right w:val="single" w:color="auto" w:sz="4" w:space="0"/>
            </w:tcBorders>
            <w:noWrap/>
            <w:vAlign w:val="center"/>
          </w:tcPr>
          <w:p w14:paraId="64C104CC">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5</w:t>
            </w:r>
          </w:p>
        </w:tc>
        <w:tc>
          <w:tcPr>
            <w:tcW w:w="7663" w:type="dxa"/>
            <w:tcBorders>
              <w:top w:val="single" w:color="auto" w:sz="4" w:space="0"/>
              <w:left w:val="single" w:color="auto" w:sz="4" w:space="0"/>
              <w:bottom w:val="single" w:color="auto" w:sz="4" w:space="0"/>
              <w:right w:val="single" w:color="auto" w:sz="4" w:space="0"/>
            </w:tcBorders>
            <w:noWrap/>
            <w:vAlign w:val="center"/>
          </w:tcPr>
          <w:p w14:paraId="7BAA4F06">
            <w:pPr>
              <w:keepNext w:val="0"/>
              <w:keepLines w:val="0"/>
              <w:pageBreakBefore w:val="0"/>
              <w:widowControl/>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p>
        </w:tc>
      </w:tr>
      <w:tr w14:paraId="05947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2951" w:type="dxa"/>
            <w:tcBorders>
              <w:top w:val="single" w:color="auto" w:sz="4" w:space="0"/>
              <w:left w:val="single" w:color="auto" w:sz="4" w:space="0"/>
              <w:bottom w:val="single" w:color="auto" w:sz="4" w:space="0"/>
              <w:right w:val="single" w:color="auto" w:sz="4" w:space="0"/>
            </w:tcBorders>
            <w:noWrap/>
            <w:vAlign w:val="center"/>
          </w:tcPr>
          <w:p w14:paraId="36EF4F7B">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六不良事件</w:t>
            </w:r>
          </w:p>
        </w:tc>
        <w:tc>
          <w:tcPr>
            <w:tcW w:w="2012" w:type="dxa"/>
            <w:tcBorders>
              <w:top w:val="single" w:color="auto" w:sz="4" w:space="0"/>
              <w:left w:val="single" w:color="auto" w:sz="4" w:space="0"/>
              <w:bottom w:val="single" w:color="auto" w:sz="4" w:space="0"/>
              <w:right w:val="single" w:color="auto" w:sz="4" w:space="0"/>
            </w:tcBorders>
            <w:noWrap/>
            <w:vAlign w:val="center"/>
          </w:tcPr>
          <w:p w14:paraId="05E89F59">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1</w:t>
            </w:r>
          </w:p>
        </w:tc>
        <w:tc>
          <w:tcPr>
            <w:tcW w:w="1475" w:type="dxa"/>
            <w:tcBorders>
              <w:top w:val="single" w:color="auto" w:sz="4" w:space="0"/>
              <w:left w:val="single" w:color="auto" w:sz="4" w:space="0"/>
              <w:bottom w:val="single" w:color="auto" w:sz="4" w:space="0"/>
              <w:right w:val="single" w:color="auto" w:sz="4" w:space="0"/>
            </w:tcBorders>
            <w:noWrap/>
            <w:vAlign w:val="center"/>
          </w:tcPr>
          <w:p w14:paraId="308E23FC">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5</w:t>
            </w:r>
          </w:p>
        </w:tc>
        <w:tc>
          <w:tcPr>
            <w:tcW w:w="7663" w:type="dxa"/>
            <w:tcBorders>
              <w:top w:val="single" w:color="auto" w:sz="4" w:space="0"/>
              <w:left w:val="single" w:color="auto" w:sz="4" w:space="0"/>
              <w:bottom w:val="single" w:color="auto" w:sz="4" w:space="0"/>
              <w:right w:val="single" w:color="auto" w:sz="4" w:space="0"/>
            </w:tcBorders>
            <w:noWrap/>
            <w:vAlign w:val="center"/>
          </w:tcPr>
          <w:p w14:paraId="1BC41F1D">
            <w:pPr>
              <w:keepNext w:val="0"/>
              <w:keepLines w:val="0"/>
              <w:pageBreakBefore w:val="0"/>
              <w:widowControl/>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p>
        </w:tc>
      </w:tr>
      <w:tr w14:paraId="70886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2951" w:type="dxa"/>
            <w:tcBorders>
              <w:top w:val="single" w:color="auto" w:sz="4" w:space="0"/>
              <w:left w:val="single" w:color="auto" w:sz="4" w:space="0"/>
              <w:bottom w:val="single" w:color="auto" w:sz="4" w:space="0"/>
              <w:right w:val="single" w:color="auto" w:sz="4" w:space="0"/>
            </w:tcBorders>
            <w:noWrap/>
            <w:vAlign w:val="center"/>
          </w:tcPr>
          <w:p w14:paraId="06489E6D">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七加分项</w:t>
            </w:r>
          </w:p>
        </w:tc>
        <w:tc>
          <w:tcPr>
            <w:tcW w:w="2012" w:type="dxa"/>
            <w:tcBorders>
              <w:top w:val="single" w:color="auto" w:sz="4" w:space="0"/>
              <w:left w:val="single" w:color="auto" w:sz="4" w:space="0"/>
              <w:bottom w:val="single" w:color="auto" w:sz="4" w:space="0"/>
              <w:right w:val="single" w:color="auto" w:sz="4" w:space="0"/>
            </w:tcBorders>
            <w:noWrap/>
            <w:vAlign w:val="center"/>
          </w:tcPr>
          <w:p w14:paraId="29E86811">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8</w:t>
            </w:r>
          </w:p>
        </w:tc>
        <w:tc>
          <w:tcPr>
            <w:tcW w:w="1475" w:type="dxa"/>
            <w:tcBorders>
              <w:top w:val="single" w:color="auto" w:sz="4" w:space="0"/>
              <w:left w:val="single" w:color="auto" w:sz="4" w:space="0"/>
              <w:bottom w:val="single" w:color="auto" w:sz="4" w:space="0"/>
              <w:right w:val="single" w:color="auto" w:sz="4" w:space="0"/>
            </w:tcBorders>
            <w:noWrap/>
            <w:vAlign w:val="center"/>
          </w:tcPr>
          <w:p w14:paraId="43600F4E">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12</w:t>
            </w:r>
          </w:p>
        </w:tc>
        <w:tc>
          <w:tcPr>
            <w:tcW w:w="7663" w:type="dxa"/>
            <w:tcBorders>
              <w:top w:val="single" w:color="auto" w:sz="4" w:space="0"/>
              <w:left w:val="single" w:color="auto" w:sz="4" w:space="0"/>
              <w:bottom w:val="single" w:color="auto" w:sz="4" w:space="0"/>
              <w:right w:val="single" w:color="auto" w:sz="4" w:space="0"/>
            </w:tcBorders>
            <w:noWrap/>
            <w:vAlign w:val="center"/>
          </w:tcPr>
          <w:p w14:paraId="7787A06E">
            <w:pPr>
              <w:keepNext w:val="0"/>
              <w:keepLines w:val="0"/>
              <w:pageBreakBefore w:val="0"/>
              <w:widowControl/>
              <w:kinsoku/>
              <w:wordWrap/>
              <w:overflowPunct/>
              <w:topLinePunct w:val="0"/>
              <w:autoSpaceDE/>
              <w:autoSpaceDN/>
              <w:bidi w:val="0"/>
              <w:adjustRightInd w:val="0"/>
              <w:snapToGrid w:val="0"/>
              <w:spacing w:line="320" w:lineRule="exact"/>
              <w:textAlignment w:val="center"/>
              <w:rPr>
                <w:rFonts w:hint="eastAsia" w:ascii="方正仿宋_GBK" w:eastAsia="方正仿宋_GBK" w:cs="方正仿宋_GBK"/>
                <w:i w:val="0"/>
                <w:iCs w:val="0"/>
                <w:color w:val="auto"/>
                <w:kern w:val="0"/>
                <w:sz w:val="21"/>
                <w:szCs w:val="21"/>
                <w:u w:val="none"/>
              </w:rPr>
            </w:pPr>
          </w:p>
        </w:tc>
      </w:tr>
      <w:tr w14:paraId="5C42B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2951" w:type="dxa"/>
            <w:noWrap/>
            <w:vAlign w:val="center"/>
          </w:tcPr>
          <w:p w14:paraId="48A7E417">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总分</w:t>
            </w:r>
          </w:p>
        </w:tc>
        <w:tc>
          <w:tcPr>
            <w:tcW w:w="11150" w:type="dxa"/>
            <w:gridSpan w:val="3"/>
            <w:noWrap/>
            <w:vAlign w:val="center"/>
          </w:tcPr>
          <w:p w14:paraId="115302A1">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100分（公共）+15分（委托生产）+12分（加分）</w:t>
            </w:r>
          </w:p>
        </w:tc>
      </w:tr>
      <w:tr w14:paraId="47A0D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4101" w:type="dxa"/>
            <w:gridSpan w:val="4"/>
            <w:tcBorders>
              <w:top w:val="single" w:color="auto" w:sz="4" w:space="0"/>
              <w:left w:val="single" w:color="auto" w:sz="4" w:space="0"/>
              <w:bottom w:val="single" w:color="auto" w:sz="4" w:space="0"/>
              <w:right w:val="single" w:color="auto" w:sz="4" w:space="0"/>
            </w:tcBorders>
            <w:noWrap/>
            <w:vAlign w:val="center"/>
          </w:tcPr>
          <w:p w14:paraId="224CBB26">
            <w:pPr>
              <w:keepNext w:val="0"/>
              <w:keepLines w:val="0"/>
              <w:pageBreakBefore w:val="0"/>
              <w:widowControl/>
              <w:suppressLineNumbers w:val="0"/>
              <w:kinsoku/>
              <w:wordWrap/>
              <w:overflowPunct/>
              <w:topLinePunct w:val="0"/>
              <w:autoSpaceDE/>
              <w:autoSpaceDN/>
              <w:bidi w:val="0"/>
              <w:adjustRightInd w:val="0"/>
              <w:snapToGrid w:val="0"/>
              <w:spacing w:line="320" w:lineRule="exact"/>
              <w:jc w:val="both"/>
              <w:textAlignment w:val="center"/>
              <w:rPr>
                <w:rFonts w:hint="eastAsia" w:ascii="方正仿宋_GBK" w:eastAsia="方正仿宋_GBK" w:cs="方正仿宋_GBK"/>
                <w:i w:val="0"/>
                <w:iCs w:val="0"/>
                <w:color w:val="auto"/>
                <w:kern w:val="0"/>
                <w:sz w:val="21"/>
                <w:szCs w:val="21"/>
                <w:u w:val="none"/>
              </w:rPr>
            </w:pPr>
            <w:r>
              <w:rPr>
                <w:rFonts w:hint="eastAsia" w:ascii="方正仿宋_GBK" w:eastAsia="方正仿宋_GBK" w:cs="方正仿宋_GBK"/>
                <w:i w:val="0"/>
                <w:iCs w:val="0"/>
                <w:color w:val="auto"/>
                <w:kern w:val="0"/>
                <w:sz w:val="21"/>
                <w:szCs w:val="21"/>
                <w:u w:val="none"/>
                <w:lang w:val="en-US" w:eastAsia="zh-CN"/>
              </w:rPr>
              <w:t>评分标准：</w:t>
            </w:r>
            <w:r>
              <w:rPr>
                <w:rFonts w:hint="eastAsia" w:ascii="方正仿宋_GBK" w:eastAsia="方正仿宋_GBK" w:cs="方正仿宋_GBK"/>
                <w:i w:val="0"/>
                <w:iCs w:val="0"/>
                <w:color w:val="auto"/>
                <w:kern w:val="0"/>
                <w:sz w:val="21"/>
                <w:szCs w:val="21"/>
                <w:u w:val="none"/>
                <w:lang w:val="en-US" w:eastAsia="zh-CN"/>
              </w:rPr>
              <w:br w:type="textWrapping"/>
            </w:r>
            <w:r>
              <w:rPr>
                <w:rFonts w:hint="eastAsia" w:ascii="方正仿宋_GBK" w:eastAsia="方正仿宋_GBK" w:cs="方正仿宋_GBK"/>
                <w:i w:val="0"/>
                <w:iCs w:val="0"/>
                <w:color w:val="auto"/>
                <w:kern w:val="0"/>
                <w:sz w:val="21"/>
                <w:szCs w:val="21"/>
                <w:u w:val="none"/>
                <w:lang w:val="en-US" w:eastAsia="zh-CN"/>
              </w:rPr>
              <w:t>一般企业=公共得分+加分项得分;</w:t>
            </w:r>
            <w:r>
              <w:rPr>
                <w:rFonts w:hint="eastAsia" w:ascii="方正仿宋_GBK" w:eastAsia="方正仿宋_GBK" w:cs="方正仿宋_GBK"/>
                <w:i w:val="0"/>
                <w:iCs w:val="0"/>
                <w:color w:val="auto"/>
                <w:kern w:val="0"/>
                <w:sz w:val="21"/>
                <w:szCs w:val="21"/>
                <w:u w:val="none"/>
                <w:lang w:val="en-US" w:eastAsia="zh-CN"/>
              </w:rPr>
              <w:br w:type="textWrapping"/>
            </w:r>
            <w:r>
              <w:rPr>
                <w:rFonts w:hint="eastAsia" w:ascii="方正仿宋_GBK" w:eastAsia="方正仿宋_GBK" w:cs="方正仿宋_GBK"/>
                <w:i w:val="0"/>
                <w:iCs w:val="0"/>
                <w:color w:val="auto"/>
                <w:kern w:val="0"/>
                <w:sz w:val="21"/>
                <w:szCs w:val="21"/>
                <w:u w:val="none"/>
                <w:lang w:val="en-US" w:eastAsia="zh-CN"/>
              </w:rPr>
              <w:t>有委托生产情形的企业=（公共得分+委托生产得分）*100/115+加分项得分。</w:t>
            </w:r>
          </w:p>
        </w:tc>
      </w:tr>
    </w:tbl>
    <w:p w14:paraId="6EE55737">
      <w:bookmarkStart w:id="0" w:name="_GoBack"/>
      <w:bookmarkEnd w:id="0"/>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Lucida Sans">
    <w:panose1 w:val="020B0602030504020204"/>
    <w:charset w:val="00"/>
    <w:family w:val="auto"/>
    <w:pitch w:val="default"/>
    <w:sig w:usb0="00000003" w:usb1="00000000" w:usb2="00000000" w:usb3="00000000" w:csb0="20000001" w:csb1="00000000"/>
  </w:font>
  <w:font w:name="方正黑体_GBK">
    <w:altName w:val="微软雅黑"/>
    <w:panose1 w:val="02000000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altName w:val="微软雅黑"/>
    <w:panose1 w:val="02000000000000000000"/>
    <w:charset w:val="86"/>
    <w:family w:val="script"/>
    <w:pitch w:val="default"/>
    <w:sig w:usb0="00000000" w:usb1="00000000" w:usb2="00000000" w:usb3="00000000" w:csb0="00040000" w:csb1="00000000"/>
  </w:font>
  <w:font w:name="方正仿宋_GBK">
    <w:altName w:val="微软雅黑"/>
    <w:panose1 w:val="02000000000000000000"/>
    <w:charset w:val="86"/>
    <w:family w:val="auto"/>
    <w:pitch w:val="default"/>
    <w:sig w:usb0="00000000" w:usb1="00000000" w:usb2="00000000" w:usb3="00000000" w:csb0="00040000" w:csb1="00000000"/>
  </w:font>
  <w:font w:name="Wingdings 2">
    <w:panose1 w:val="05020102010507070707"/>
    <w:charset w:val="00"/>
    <w:family w:val="roman"/>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41659F6"/>
    <w:multiLevelType w:val="singleLevel"/>
    <w:tmpl w:val="D41659F6"/>
    <w:lvl w:ilvl="0" w:tentative="0">
      <w:start w:val="1"/>
      <w:numFmt w:val="chineseCounting"/>
      <w:suff w:val="nothing"/>
      <w:lvlText w:val="%1、"/>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3447998"/>
    <w:rsid w:val="234479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character" w:customStyle="1" w:styleId="5">
    <w:name w:val="style101"/>
    <w:basedOn w:val="4"/>
    <w:qFormat/>
    <w:uiPriority w:val="0"/>
    <w:rPr>
      <w:rFonts w:ascii="Times New Roman" w:hAnsi="Times New Roman" w:cs="Times New Roman"/>
      <w:color w:val="000000"/>
      <w:sz w:val="18"/>
      <w:szCs w:val="18"/>
    </w:rPr>
  </w:style>
  <w:style w:type="character" w:customStyle="1" w:styleId="6">
    <w:name w:val="font51"/>
    <w:basedOn w:val="4"/>
    <w:qFormat/>
    <w:uiPriority w:val="0"/>
    <w:rPr>
      <w:rFonts w:ascii="宋体" w:eastAsia="宋体" w:cs="宋体"/>
      <w:color w:val="FF0000"/>
      <w:sz w:val="16"/>
      <w:szCs w:val="16"/>
      <w:u w:val="none"/>
    </w:rPr>
  </w:style>
  <w:style w:type="character" w:customStyle="1" w:styleId="7">
    <w:name w:val="font41"/>
    <w:basedOn w:val="4"/>
    <w:qFormat/>
    <w:uiPriority w:val="0"/>
    <w:rPr>
      <w:rFonts w:ascii="宋体" w:eastAsia="宋体" w:cs="宋体"/>
      <w:color w:val="000000"/>
      <w:sz w:val="16"/>
      <w:szCs w:val="16"/>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17</Pages>
  <Words>0</Words>
  <Characters>0</Characters>
  <Lines>0</Lines>
  <Paragraphs>0</Paragraphs>
  <TotalTime>0</TotalTime>
  <ScaleCrop>false</ScaleCrop>
  <LinksUpToDate>false</LinksUpToDate>
  <CharactersWithSpaces>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2025-03-28T07:23:00Z</dcterms:created>
  <dc:creator>相裕连</dc:creator>
  <cp:lastModifiedBy>相裕连</cp:lastModifiedBy>
  <dcterms:modified xsi:type="dcterms:W3CDTF">2025-03-28T07:23:54Z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39E631F8A8F54EE896707350A707B086_11</vt:lpwstr>
  </property>
  <property fmtid="{D5CDD505-2E9C-101B-9397-08002B2CF9AE}" pid="4" name="KSOTemplateDocerSaveRecord">
    <vt:lpwstr>eyJoZGlkIjoiZDZhOTk3NzA4NzU0NTkyNzc4NWRhZDAzZWFiNzgyZmIiLCJ1c2VySWQiOiI3Mzg0MjM2MTEifQ==</vt:lpwstr>
  </property>
</Properties>
</file>