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35ACB8">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jc w:val="center"/>
        <w:rPr>
          <w:rFonts w:hint="default" w:ascii="Times New Roman" w:hAnsi="Times New Roman" w:eastAsia="方正小标宋_GBK"/>
          <w:kern w:val="2"/>
          <w:sz w:val="44"/>
          <w:szCs w:val="44"/>
        </w:rPr>
      </w:pPr>
      <w:bookmarkStart w:id="0" w:name="_GoBack"/>
      <w:r>
        <w:rPr>
          <w:rFonts w:hint="eastAsia" w:ascii="方正小标宋_GBK" w:eastAsia="方正小标宋_GBK"/>
          <w:kern w:val="2"/>
          <w:sz w:val="44"/>
          <w:szCs w:val="44"/>
        </w:rPr>
        <w:t>江苏省药品</w:t>
      </w:r>
      <w:r>
        <w:rPr>
          <w:rFonts w:hint="eastAsia" w:ascii="Times New Roman" w:hAnsi="Times New Roman" w:eastAsia="方正小标宋_GBK" w:cs="Times New Roman"/>
          <w:kern w:val="2"/>
          <w:sz w:val="44"/>
          <w:szCs w:val="44"/>
          <w:lang w:bidi="ar-SA"/>
        </w:rPr>
        <w:t>上市后</w:t>
      </w:r>
      <w:r>
        <w:rPr>
          <w:rFonts w:hint="eastAsia" w:ascii="方正小标宋_GBK" w:eastAsia="方正小标宋_GBK"/>
          <w:kern w:val="2"/>
          <w:sz w:val="44"/>
          <w:szCs w:val="44"/>
        </w:rPr>
        <w:t>生产场地变更优先</w:t>
      </w:r>
      <w:r>
        <w:rPr>
          <w:rFonts w:hint="eastAsia" w:ascii="Times New Roman" w:hAnsi="Times New Roman" w:eastAsia="方正小标宋_GBK" w:cs="Times New Roman"/>
          <w:kern w:val="2"/>
          <w:sz w:val="44"/>
          <w:szCs w:val="44"/>
          <w:lang w:bidi="ar-SA"/>
        </w:rPr>
        <w:t>受理</w:t>
      </w:r>
      <w:r>
        <w:rPr>
          <w:rFonts w:hint="eastAsia" w:ascii="方正小标宋_GBK" w:eastAsia="方正小标宋_GBK"/>
          <w:kern w:val="2"/>
          <w:sz w:val="44"/>
          <w:szCs w:val="44"/>
        </w:rPr>
        <w:t>审评实施细则</w:t>
      </w:r>
      <w:r>
        <w:rPr>
          <w:rFonts w:hint="eastAsia" w:ascii="Times New Roman" w:hAnsi="Times New Roman" w:eastAsia="方正小标宋_GBK" w:cs="Times New Roman"/>
          <w:kern w:val="2"/>
          <w:sz w:val="44"/>
          <w:szCs w:val="44"/>
          <w:lang w:bidi="ar-SA"/>
        </w:rPr>
        <w:t>（试行）</w:t>
      </w:r>
    </w:p>
    <w:bookmarkEnd w:id="0"/>
    <w:p w14:paraId="54B73DF2">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为持续深化药品审评审批制度改革</w:t>
      </w:r>
      <w:r>
        <w:rPr>
          <w:rFonts w:hint="eastAsia" w:ascii="方正仿宋_GBK" w:eastAsia="方正仿宋_GBK" w:cs="方正仿宋_GBK"/>
          <w:color w:val="auto"/>
          <w:kern w:val="0"/>
          <w:sz w:val="32"/>
          <w:szCs w:val="32"/>
          <w:lang w:bidi="ar-SA"/>
        </w:rPr>
        <w:t>，</w:t>
      </w:r>
      <w:r>
        <w:rPr>
          <w:rFonts w:hint="eastAsia" w:ascii="方正仿宋_GBK" w:eastAsia="方正仿宋_GBK" w:cs="方正仿宋_GBK"/>
          <w:kern w:val="2"/>
          <w:sz w:val="32"/>
          <w:szCs w:val="32"/>
          <w:lang w:bidi="ar-SA"/>
        </w:rPr>
        <w:t>鼓励企业研发创新，落实企业质量安全主体责任，</w:t>
      </w:r>
      <w:r>
        <w:rPr>
          <w:rFonts w:hint="eastAsia" w:ascii="方正仿宋_GBK" w:eastAsia="方正仿宋_GBK" w:cs="方正仿宋_GBK"/>
          <w:color w:val="auto"/>
          <w:kern w:val="0"/>
          <w:sz w:val="32"/>
          <w:szCs w:val="32"/>
          <w:lang w:bidi="ar-SA"/>
        </w:rPr>
        <w:t>进一步推动我</w:t>
      </w:r>
      <w:r>
        <w:rPr>
          <w:rFonts w:hint="eastAsia" w:ascii="方正仿宋_GBK" w:eastAsia="方正仿宋_GBK" w:cs="方正仿宋_GBK"/>
          <w:kern w:val="2"/>
          <w:sz w:val="32"/>
          <w:szCs w:val="32"/>
          <w:lang w:bidi="ar-SA"/>
        </w:rPr>
        <w:t>省医药产业创新高质量发展，根据《中华人民共和国药品管理法》《药品注册管理办法》《国务院办公厅关于推动药品集中带量采购工作常态化制度化开展的意见》《国家药品监督管理局关于发布&lt;突破性治疗药物审评工作程序（试行）&gt;等三个文件的公告》《药审中心加快创新药上市许可申请审评工作规范（试行）》等法律法规规定，结合我省实际，聚焦人民群众用药需求及企业诉求，制定本实施细则。</w:t>
      </w:r>
    </w:p>
    <w:p w14:paraId="1AD8253D">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黑体_GBK" w:eastAsia="方正黑体_GBK" w:cs="方正黑体_GBK"/>
          <w:kern w:val="2"/>
          <w:sz w:val="32"/>
          <w:szCs w:val="32"/>
          <w:lang w:bidi="ar-SA"/>
        </w:rPr>
      </w:pPr>
      <w:r>
        <w:rPr>
          <w:rFonts w:hint="eastAsia" w:ascii="方正黑体_GBK" w:eastAsia="方正黑体_GBK" w:cs="方正黑体_GBK"/>
          <w:kern w:val="2"/>
          <w:sz w:val="32"/>
          <w:szCs w:val="32"/>
          <w:lang w:bidi="ar-SA"/>
        </w:rPr>
        <w:t>一、适用范围</w:t>
      </w:r>
    </w:p>
    <w:p w14:paraId="13F06936">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省内药品上市许可持有人或药品生产企业（以下统称申请人）申请药品上市后生产场地变更，符合下列情形之一的，可优先受理审评：</w:t>
      </w:r>
    </w:p>
    <w:p w14:paraId="74B9BF3B">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b/>
          <w:bCs/>
          <w:i/>
          <w:iCs/>
          <w:kern w:val="2"/>
          <w:sz w:val="32"/>
          <w:szCs w:val="32"/>
          <w:lang w:bidi="ar-SA"/>
        </w:rPr>
      </w:pPr>
      <w:r>
        <w:rPr>
          <w:rFonts w:hint="eastAsia" w:ascii="方正仿宋_GBK" w:eastAsia="方正仿宋_GBK" w:cs="方正仿宋_GBK"/>
          <w:b w:val="0"/>
          <w:bCs/>
          <w:i w:val="0"/>
          <w:iCs/>
          <w:kern w:val="2"/>
          <w:sz w:val="32"/>
          <w:szCs w:val="32"/>
          <w:lang w:bidi="ar-SA"/>
        </w:rPr>
        <w:t>（一）</w:t>
      </w:r>
      <w:r>
        <w:rPr>
          <w:rFonts w:hint="eastAsia" w:ascii="方正仿宋_GBK" w:eastAsia="方正仿宋_GBK" w:cs="方正仿宋_GBK"/>
          <w:kern w:val="2"/>
          <w:sz w:val="32"/>
          <w:szCs w:val="32"/>
          <w:lang w:bidi="ar-SA"/>
        </w:rPr>
        <w:t>国家药品监督管理局按优先审评审批程序批准上市的未满3年的药品；</w:t>
      </w:r>
    </w:p>
    <w:p w14:paraId="12BE85C1">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（二）获批上市未满3年的创新药；</w:t>
      </w:r>
    </w:p>
    <w:p w14:paraId="1508496D">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（三）国家级集采中标且急需扩增产能的已上市药品；</w:t>
      </w:r>
    </w:p>
    <w:p w14:paraId="426F348B">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（四）纳入最新版国家或江苏省短缺药品目录的已上市药品；</w:t>
      </w:r>
    </w:p>
    <w:p w14:paraId="6E8C7013">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（五）应对突发公共卫生事件急需的已上市药品；</w:t>
      </w:r>
    </w:p>
    <w:p w14:paraId="2033F16C">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（六）其他按照规定可优先受理审评的已上市药品。</w:t>
      </w:r>
    </w:p>
    <w:p w14:paraId="12E4774D">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黑体_GBK" w:eastAsia="方正黑体_GBK" w:cs="方正黑体_GBK"/>
          <w:kern w:val="2"/>
          <w:sz w:val="32"/>
          <w:szCs w:val="32"/>
          <w:lang w:bidi="ar-SA"/>
        </w:rPr>
      </w:pPr>
      <w:r>
        <w:rPr>
          <w:rFonts w:hint="eastAsia" w:ascii="方正黑体_GBK" w:eastAsia="方正黑体_GBK" w:cs="方正黑体_GBK"/>
          <w:kern w:val="2"/>
          <w:sz w:val="32"/>
          <w:szCs w:val="32"/>
          <w:lang w:bidi="ar-SA"/>
        </w:rPr>
        <w:t>二、提供资料要求</w:t>
      </w:r>
    </w:p>
    <w:p w14:paraId="0FD743A6">
      <w:pPr>
        <w:pStyle w:val="7"/>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符合上述情形可优先受理审评的已上市药品变更生产场地申请，申请人在提交生产场地变更申请资料的同时，提交《药品上市后生产场地变更优先受理审评申请表》（附件1），并提供如下材料：</w:t>
      </w:r>
    </w:p>
    <w:p w14:paraId="3FE43BD5">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（一）按优先审评审批程序获准上市的，附国家药品监督管理局药品审评中心网站“纳入优先审评品种名单”截图等；</w:t>
      </w:r>
    </w:p>
    <w:p w14:paraId="2319E92B">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（二）创新药附药品注册证书，其中生物制品创新药还需附国家药品监督管理局药品审评中心网站“受理品种信息”截图；</w:t>
      </w:r>
    </w:p>
    <w:p w14:paraId="0CFD8B7A">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（三）国家级集采中标的，附集采中标证明性文件；</w:t>
      </w:r>
    </w:p>
    <w:p w14:paraId="478D4219">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（四）纳入最新版国家或江苏省短缺药品目录的，提交相关药品目录；</w:t>
      </w:r>
    </w:p>
    <w:p w14:paraId="4B8AEE64">
      <w:pPr>
        <w:pStyle w:val="6"/>
        <w:keepNext w:val="0"/>
        <w:keepLines w:val="0"/>
        <w:pageBreakBefore w:val="0"/>
        <w:widowControl w:val="0"/>
        <w:suppressLineNumbers w:val="0"/>
        <w:suppressAutoHyphens w:val="0"/>
        <w:kinsoku/>
        <w:wordWrap/>
        <w:overflowPunct/>
        <w:topLinePunct w:val="0"/>
        <w:autoSpaceDE/>
        <w:autoSpaceDN/>
        <w:adjustRightInd w:val="0"/>
        <w:snapToGrid w:val="0"/>
        <w:spacing w:before="0" w:beforeAutospacing="0" w:after="0" w:line="590" w:lineRule="atLeast"/>
        <w:ind w:left="0" w:leftChars="0" w:firstLine="640" w:firstLineChars="200"/>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（五）应对突发公共卫生事件急需的，提交法定职能部门公布的相关药品目录；</w:t>
      </w:r>
    </w:p>
    <w:p w14:paraId="6799132A">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（六）其他可以提交的材料。</w:t>
      </w:r>
    </w:p>
    <w:p w14:paraId="015CFA0E">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提交第</w:t>
      </w:r>
      <w:r>
        <w:rPr>
          <w:rFonts w:hint="eastAsia" w:ascii="方正仿宋_GBK" w:eastAsia="方正仿宋_GBK" w:cs="方正仿宋_GBK"/>
          <w:b w:val="0"/>
          <w:bCs/>
          <w:i w:val="0"/>
          <w:iCs/>
          <w:kern w:val="2"/>
          <w:sz w:val="32"/>
          <w:szCs w:val="32"/>
          <w:lang w:bidi="ar-SA"/>
        </w:rPr>
        <w:t>（一）</w:t>
      </w:r>
      <w:r>
        <w:rPr>
          <w:rFonts w:hint="eastAsia" w:ascii="方正仿宋_GBK" w:eastAsia="方正仿宋_GBK" w:cs="方正仿宋_GBK"/>
          <w:kern w:val="2"/>
          <w:sz w:val="32"/>
          <w:szCs w:val="32"/>
          <w:lang w:bidi="ar-SA"/>
        </w:rPr>
        <w:t>项、第</w:t>
      </w:r>
      <w:r>
        <w:rPr>
          <w:rFonts w:hint="eastAsia" w:ascii="方正仿宋_GBK" w:eastAsia="方正仿宋_GBK" w:cs="方正仿宋_GBK"/>
          <w:b w:val="0"/>
          <w:bCs/>
          <w:i w:val="0"/>
          <w:iCs/>
          <w:kern w:val="2"/>
          <w:sz w:val="32"/>
          <w:szCs w:val="32"/>
          <w:lang w:bidi="ar-SA"/>
        </w:rPr>
        <w:t>（二）</w:t>
      </w:r>
      <w:r>
        <w:rPr>
          <w:rFonts w:hint="eastAsia" w:ascii="方正仿宋_GBK" w:eastAsia="方正仿宋_GBK" w:cs="方正仿宋_GBK"/>
          <w:kern w:val="2"/>
          <w:sz w:val="32"/>
          <w:szCs w:val="32"/>
          <w:lang w:bidi="ar-SA"/>
        </w:rPr>
        <w:t>项、第</w:t>
      </w:r>
      <w:r>
        <w:rPr>
          <w:rFonts w:hint="eastAsia" w:ascii="方正仿宋_GBK" w:eastAsia="方正仿宋_GBK" w:cs="方正仿宋_GBK"/>
          <w:b w:val="0"/>
          <w:bCs/>
          <w:i w:val="0"/>
          <w:iCs/>
          <w:kern w:val="2"/>
          <w:sz w:val="32"/>
          <w:szCs w:val="32"/>
          <w:lang w:bidi="ar-SA"/>
        </w:rPr>
        <w:t>（三）</w:t>
      </w:r>
      <w:r>
        <w:rPr>
          <w:rFonts w:hint="eastAsia" w:ascii="方正仿宋_GBK" w:eastAsia="方正仿宋_GBK" w:cs="方正仿宋_GBK"/>
          <w:kern w:val="2"/>
          <w:sz w:val="32"/>
          <w:szCs w:val="32"/>
          <w:lang w:bidi="ar-SA"/>
        </w:rPr>
        <w:t>项、第</w:t>
      </w:r>
      <w:r>
        <w:rPr>
          <w:rFonts w:hint="eastAsia" w:ascii="方正仿宋_GBK" w:eastAsia="方正仿宋_GBK" w:cs="方正仿宋_GBK"/>
          <w:b w:val="0"/>
          <w:bCs/>
          <w:i w:val="0"/>
          <w:iCs/>
          <w:kern w:val="2"/>
          <w:sz w:val="32"/>
          <w:szCs w:val="32"/>
          <w:lang w:bidi="ar-SA"/>
        </w:rPr>
        <w:t>（四）</w:t>
      </w:r>
      <w:r>
        <w:rPr>
          <w:rFonts w:hint="eastAsia" w:ascii="方正仿宋_GBK" w:eastAsia="方正仿宋_GBK" w:cs="方正仿宋_GBK"/>
          <w:kern w:val="2"/>
          <w:sz w:val="32"/>
          <w:szCs w:val="32"/>
          <w:lang w:bidi="ar-SA"/>
        </w:rPr>
        <w:t>项或第</w:t>
      </w:r>
      <w:r>
        <w:rPr>
          <w:rFonts w:hint="eastAsia" w:ascii="方正仿宋_GBK" w:eastAsia="方正仿宋_GBK" w:cs="方正仿宋_GBK"/>
          <w:b w:val="0"/>
          <w:bCs/>
          <w:i w:val="0"/>
          <w:iCs/>
          <w:kern w:val="2"/>
          <w:sz w:val="32"/>
          <w:szCs w:val="32"/>
          <w:lang w:bidi="ar-SA"/>
        </w:rPr>
        <w:t>（六）</w:t>
      </w:r>
      <w:r>
        <w:rPr>
          <w:rFonts w:hint="eastAsia" w:ascii="方正仿宋_GBK" w:eastAsia="方正仿宋_GBK" w:cs="方正仿宋_GBK"/>
          <w:kern w:val="2"/>
          <w:sz w:val="32"/>
          <w:szCs w:val="32"/>
          <w:lang w:bidi="ar-SA"/>
        </w:rPr>
        <w:t>项资料时，申请人应当同时提供江苏省药品监督管理局或属地检查分局对企业落实质量安全主体责任的年度评估结果。</w:t>
      </w:r>
    </w:p>
    <w:p w14:paraId="547BADA8">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黑体_GBK" w:eastAsia="方正黑体_GBK" w:cs="方正黑体_GBK"/>
          <w:kern w:val="2"/>
          <w:sz w:val="32"/>
          <w:szCs w:val="32"/>
          <w:lang w:bidi="ar-SA"/>
        </w:rPr>
      </w:pPr>
      <w:r>
        <w:rPr>
          <w:rFonts w:hint="eastAsia" w:ascii="方正黑体_GBK" w:eastAsia="方正黑体_GBK" w:cs="方正黑体_GBK"/>
          <w:kern w:val="2"/>
          <w:sz w:val="32"/>
          <w:szCs w:val="32"/>
          <w:lang w:bidi="ar-SA"/>
        </w:rPr>
        <w:t>三、优先受理审评工作程序</w:t>
      </w:r>
    </w:p>
    <w:p w14:paraId="7229F638">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（一）申请人在提交生产场地变更申报资料时同步提交优先受理审评申请及相关材料。申请人不确定是否符合条件，可提前与江苏省药品监督管理局受理部门沟通咨询。</w:t>
      </w:r>
    </w:p>
    <w:p w14:paraId="3CC78502">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二）由江苏省药品监督管理局受理部门在受理环节根据企业提交的资料确定是否为优先受理审评品种，属于优先受理审评品种的，在系统中标注，同时可根据企业提交除场地变更后样品稳定性试验资料外的药学研究资料进行形式审查，符合要求的先行受理。如未提交场地变更后样品稳定性试验资料，企业应在药学研究资料中提交：1、自最近一次国家药品监督管理局</w:t>
      </w:r>
      <w:r>
        <w:rPr>
          <w:rFonts w:hint="eastAsia" w:ascii="方正仿宋_GBK" w:eastAsia="方正仿宋_GBK" w:cs="方正仿宋_GBK"/>
          <w:color w:val="auto"/>
          <w:kern w:val="2"/>
          <w:sz w:val="32"/>
          <w:szCs w:val="32"/>
          <w:lang w:bidi="ar-SA"/>
        </w:rPr>
        <w:t>注册批准以来</w:t>
      </w:r>
      <w:r>
        <w:rPr>
          <w:rFonts w:hint="eastAsia" w:ascii="方正仿宋_GBK" w:eastAsia="方正仿宋_GBK" w:cs="方正仿宋_GBK"/>
          <w:kern w:val="2"/>
          <w:sz w:val="32"/>
          <w:szCs w:val="32"/>
          <w:lang w:bidi="ar-SA"/>
        </w:rPr>
        <w:t>，</w:t>
      </w:r>
      <w:r>
        <w:rPr>
          <w:rFonts w:hint="eastAsia" w:ascii="方正仿宋_GBK" w:eastAsia="方正仿宋_GBK" w:cs="方正仿宋_GBK"/>
          <w:color w:val="auto"/>
          <w:kern w:val="2"/>
          <w:sz w:val="32"/>
          <w:szCs w:val="32"/>
          <w:lang w:bidi="ar-SA"/>
        </w:rPr>
        <w:t>包括注册批在内的</w:t>
      </w:r>
      <w:r>
        <w:rPr>
          <w:rFonts w:hint="eastAsia" w:ascii="方正仿宋_GBK" w:eastAsia="方正仿宋_GBK" w:cs="方正仿宋_GBK"/>
          <w:kern w:val="2"/>
          <w:sz w:val="32"/>
          <w:szCs w:val="32"/>
          <w:lang w:bidi="ar-SA"/>
        </w:rPr>
        <w:t>场地变更前所有已进行加速和长期稳定性考察批次产品的稳定性考察汇总数据（模板见附件2）及结果分析。2、稳定性考察方案和承诺书，承诺在技术审评结束前提交场地变更后样品3~6个月加速和长期稳定性试验数据，并与变更前产品稳定性进行对比；如在技术审评结束前未能提交相应的稳定性研究资料，则主动撤回申请或接受江苏省药品监督管理局审评中心作出“建议不予批准”的结论。</w:t>
      </w:r>
    </w:p>
    <w:p w14:paraId="0694824F">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（三）标注为优先受理审评品种的，在系统中单独排序，按规则分配办理人员。办理人员</w:t>
      </w:r>
      <w:r>
        <w:rPr>
          <w:rStyle w:val="10"/>
          <w:rFonts w:hint="eastAsia" w:ascii="方正仿宋_GBK" w:eastAsia="方正仿宋_GBK" w:cs="方正仿宋_GBK"/>
          <w:sz w:val="32"/>
          <w:szCs w:val="32"/>
          <w:lang w:bidi="ar-SA"/>
        </w:rPr>
        <w:t>按照优先受理审评品种的系统接收时间先后顺序，依次开展技术审评、检查、审查审批。</w:t>
      </w:r>
    </w:p>
    <w:p w14:paraId="602EC323">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四）如江苏省药品监督管理局审评部门在审评期间认为不符合优先受理审评事项情形的，可与受理部门和企业沟通达成一致后在系统中取消标注，注明沟通情况及取消理由，产品进入正常审评序列，审评时限从按优先受理审评事项分配开始计算。</w:t>
      </w:r>
    </w:p>
    <w:p w14:paraId="7BF19D1A">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黑体_GBK" w:eastAsia="方正黑体_GBK" w:cs="方正黑体_GBK"/>
          <w:kern w:val="2"/>
          <w:sz w:val="32"/>
          <w:szCs w:val="32"/>
          <w:lang w:bidi="ar-SA"/>
        </w:rPr>
      </w:pPr>
      <w:r>
        <w:rPr>
          <w:rFonts w:hint="eastAsia" w:ascii="方正黑体_GBK" w:eastAsia="方正黑体_GBK" w:cs="方正黑体_GBK"/>
          <w:kern w:val="2"/>
          <w:sz w:val="32"/>
          <w:szCs w:val="32"/>
          <w:lang w:bidi="ar-SA"/>
        </w:rPr>
        <w:t>四、技术审评工作时限</w:t>
      </w:r>
    </w:p>
    <w:tbl>
      <w:tblPr>
        <w:tblStyle w:val="8"/>
        <w:tblW w:w="8971" w:type="dxa"/>
        <w:tblInd w:w="0" w:type="dxa"/>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autofit"/>
        <w:tblCellMar>
          <w:top w:w="0" w:type="dxa"/>
          <w:left w:w="108" w:type="dxa"/>
          <w:bottom w:w="0" w:type="dxa"/>
          <w:right w:w="108" w:type="dxa"/>
        </w:tblCellMar>
      </w:tblPr>
      <w:tblGrid>
        <w:gridCol w:w="4177"/>
        <w:gridCol w:w="2425"/>
        <w:gridCol w:w="2369"/>
      </w:tblGrid>
      <w:tr w14:paraId="13BAA71F">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c>
          <w:tcPr>
            <w:tcW w:w="4177" w:type="dxa"/>
            <w:tcBorders>
              <w:top w:val="single" w:color="auto" w:sz="4" w:space="0"/>
              <w:left w:val="single" w:color="auto" w:sz="4" w:space="0"/>
              <w:bottom w:val="single" w:color="auto" w:sz="4" w:space="0"/>
              <w:right w:val="single" w:color="auto" w:sz="4" w:space="0"/>
            </w:tcBorders>
            <w:noWrap w:val="0"/>
            <w:vAlign w:val="center"/>
          </w:tcPr>
          <w:p w14:paraId="7B739C63">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审评情况</w:t>
            </w:r>
          </w:p>
        </w:tc>
        <w:tc>
          <w:tcPr>
            <w:tcW w:w="2425" w:type="dxa"/>
            <w:tcBorders>
              <w:top w:val="single" w:color="auto" w:sz="4" w:space="0"/>
              <w:left w:val="nil"/>
              <w:bottom w:val="single" w:color="auto" w:sz="4" w:space="0"/>
              <w:right w:val="single" w:color="auto" w:sz="4" w:space="0"/>
            </w:tcBorders>
            <w:noWrap w:val="0"/>
            <w:vAlign w:val="center"/>
          </w:tcPr>
          <w:p w14:paraId="435024A2">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优先审评时限</w:t>
            </w:r>
          </w:p>
          <w:p w14:paraId="24D756E0">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（工作日）</w:t>
            </w:r>
          </w:p>
        </w:tc>
        <w:tc>
          <w:tcPr>
            <w:tcW w:w="2369" w:type="dxa"/>
            <w:tcBorders>
              <w:top w:val="single" w:color="auto" w:sz="4" w:space="0"/>
              <w:left w:val="nil"/>
              <w:bottom w:val="single" w:color="auto" w:sz="4" w:space="0"/>
              <w:right w:val="single" w:color="auto" w:sz="4" w:space="0"/>
            </w:tcBorders>
            <w:noWrap w:val="0"/>
            <w:vAlign w:val="center"/>
          </w:tcPr>
          <w:p w14:paraId="410CC7F4">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法定审评时限（工作日）</w:t>
            </w:r>
          </w:p>
        </w:tc>
      </w:tr>
      <w:tr w14:paraId="1B9CAC8A">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c>
          <w:tcPr>
            <w:tcW w:w="4177" w:type="dxa"/>
            <w:tcBorders>
              <w:top w:val="single" w:color="auto" w:sz="4" w:space="0"/>
              <w:left w:val="single" w:color="auto" w:sz="4" w:space="0"/>
              <w:bottom w:val="single" w:color="auto" w:sz="4" w:space="0"/>
              <w:right w:val="single" w:color="auto" w:sz="4" w:space="0"/>
            </w:tcBorders>
            <w:noWrap w:val="0"/>
            <w:vAlign w:val="center"/>
          </w:tcPr>
          <w:p w14:paraId="579285BD">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技术审评（不含合并申报事项）</w:t>
            </w:r>
          </w:p>
        </w:tc>
        <w:tc>
          <w:tcPr>
            <w:tcW w:w="2425" w:type="dxa"/>
            <w:tcBorders>
              <w:top w:val="single" w:color="auto" w:sz="4" w:space="0"/>
              <w:left w:val="nil"/>
              <w:bottom w:val="single" w:color="auto" w:sz="4" w:space="0"/>
              <w:right w:val="single" w:color="auto" w:sz="4" w:space="0"/>
            </w:tcBorders>
            <w:noWrap w:val="0"/>
            <w:vAlign w:val="center"/>
          </w:tcPr>
          <w:p w14:paraId="726D44E3">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20</w:t>
            </w:r>
          </w:p>
        </w:tc>
        <w:tc>
          <w:tcPr>
            <w:tcW w:w="2369" w:type="dxa"/>
            <w:tcBorders>
              <w:top w:val="single" w:color="auto" w:sz="4" w:space="0"/>
              <w:left w:val="nil"/>
              <w:bottom w:val="single" w:color="auto" w:sz="4" w:space="0"/>
              <w:right w:val="single" w:color="auto" w:sz="4" w:space="0"/>
            </w:tcBorders>
            <w:noWrap w:val="0"/>
            <w:vAlign w:val="center"/>
          </w:tcPr>
          <w:p w14:paraId="32654FA6">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60</w:t>
            </w:r>
          </w:p>
        </w:tc>
      </w:tr>
      <w:tr w14:paraId="5D1215F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108" w:type="dxa"/>
            <w:bottom w:w="0" w:type="dxa"/>
            <w:right w:w="108" w:type="dxa"/>
          </w:tblCellMar>
        </w:tblPrEx>
        <w:tc>
          <w:tcPr>
            <w:tcW w:w="4177" w:type="dxa"/>
            <w:tcBorders>
              <w:top w:val="single" w:color="auto" w:sz="4" w:space="0"/>
              <w:left w:val="single" w:color="auto" w:sz="4" w:space="0"/>
              <w:bottom w:val="single" w:color="auto" w:sz="4" w:space="0"/>
              <w:right w:val="single" w:color="auto" w:sz="4" w:space="0"/>
            </w:tcBorders>
            <w:noWrap w:val="0"/>
            <w:vAlign w:val="center"/>
          </w:tcPr>
          <w:p w14:paraId="1BBABAA6">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技术审评（含合并申报事项）</w:t>
            </w:r>
          </w:p>
        </w:tc>
        <w:tc>
          <w:tcPr>
            <w:tcW w:w="2425" w:type="dxa"/>
            <w:tcBorders>
              <w:top w:val="single" w:color="auto" w:sz="4" w:space="0"/>
              <w:left w:val="nil"/>
              <w:bottom w:val="single" w:color="auto" w:sz="4" w:space="0"/>
              <w:right w:val="single" w:color="auto" w:sz="4" w:space="0"/>
            </w:tcBorders>
            <w:noWrap w:val="0"/>
            <w:vAlign w:val="center"/>
          </w:tcPr>
          <w:p w14:paraId="5B6B52AF">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30</w:t>
            </w:r>
          </w:p>
        </w:tc>
        <w:tc>
          <w:tcPr>
            <w:tcW w:w="2369" w:type="dxa"/>
            <w:tcBorders>
              <w:top w:val="single" w:color="auto" w:sz="4" w:space="0"/>
              <w:left w:val="nil"/>
              <w:bottom w:val="single" w:color="auto" w:sz="4" w:space="0"/>
              <w:right w:val="single" w:color="auto" w:sz="4" w:space="0"/>
            </w:tcBorders>
            <w:noWrap w:val="0"/>
            <w:vAlign w:val="center"/>
          </w:tcPr>
          <w:p w14:paraId="77B716E7">
            <w:pPr>
              <w:keepLines w:val="0"/>
              <w:widowControl w:val="0"/>
              <w:suppressLineNumbers w:val="0"/>
              <w:kinsoku/>
              <w:wordWrap/>
              <w:overflowPunct/>
              <w:topLinePunct w:val="0"/>
              <w:autoSpaceDE/>
              <w:autoSpaceDN/>
              <w:adjustRightInd w:val="0"/>
              <w:snapToGrid w:val="0"/>
              <w:spacing w:after="0" w:line="590" w:lineRule="atLeast"/>
              <w:ind w:left="0" w:right="0"/>
              <w:jc w:val="center"/>
              <w:rPr>
                <w:rFonts w:hint="eastAsia" w:ascii="方正仿宋_GBK" w:eastAsia="方正仿宋_GBK" w:cs="方正仿宋_GBK"/>
                <w:color w:val="333333"/>
                <w:kern w:val="2"/>
                <w:sz w:val="32"/>
                <w:szCs w:val="32"/>
                <w:shd w:val="clear" w:color="auto" w:fill="FFFFFF"/>
                <w:lang w:bidi="ar-SA"/>
              </w:rPr>
            </w:pPr>
            <w:r>
              <w:rPr>
                <w:rFonts w:hint="eastAsia" w:ascii="方正仿宋_GBK" w:eastAsia="方正仿宋_GBK" w:cs="方正仿宋_GBK"/>
                <w:color w:val="333333"/>
                <w:kern w:val="2"/>
                <w:sz w:val="32"/>
                <w:szCs w:val="32"/>
                <w:shd w:val="clear" w:color="auto" w:fill="FFFFFF"/>
                <w:lang w:bidi="ar-SA"/>
              </w:rPr>
              <w:t>80</w:t>
            </w:r>
          </w:p>
        </w:tc>
      </w:tr>
    </w:tbl>
    <w:p w14:paraId="54D16A3F">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《药品注册管理办法》（国家市场监督管理总局令第27条）第一百零三条所列情形不计入相关工作时限。</w:t>
      </w:r>
    </w:p>
    <w:p w14:paraId="457DB658">
      <w:pPr>
        <w:pStyle w:val="6"/>
        <w:keepNext w:val="0"/>
        <w:keepLines w:val="0"/>
        <w:pageBreakBefore w:val="0"/>
        <w:widowControl w:val="0"/>
        <w:suppressLineNumbers w:val="0"/>
        <w:suppressAutoHyphens w:val="0"/>
        <w:kinsoku/>
        <w:wordWrap/>
        <w:overflowPunct/>
        <w:topLinePunct w:val="0"/>
        <w:autoSpaceDE/>
        <w:autoSpaceDN/>
        <w:adjustRightInd w:val="0"/>
        <w:snapToGrid w:val="0"/>
        <w:spacing w:before="0" w:beforeAutospacing="0" w:after="0" w:line="590" w:lineRule="atLeast"/>
        <w:ind w:left="0" w:leftChars="0" w:firstLine="640" w:firstLineChars="200"/>
        <w:rPr>
          <w:rFonts w:hint="eastAsia" w:ascii="方正黑体_GBK" w:eastAsia="方正黑体_GBK" w:cs="方正黑体_GBK"/>
          <w:kern w:val="2"/>
          <w:sz w:val="32"/>
          <w:szCs w:val="32"/>
          <w:lang w:bidi="ar-SA"/>
        </w:rPr>
      </w:pPr>
      <w:r>
        <w:rPr>
          <w:rFonts w:hint="eastAsia" w:ascii="方正黑体_GBK" w:eastAsia="方正黑体_GBK" w:cs="方正黑体_GBK"/>
          <w:kern w:val="2"/>
          <w:sz w:val="32"/>
          <w:szCs w:val="32"/>
          <w:lang w:bidi="ar-SA"/>
        </w:rPr>
        <w:t>五、施行时间</w:t>
      </w:r>
    </w:p>
    <w:p w14:paraId="32833710">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本实施细则自2024年11月</w:t>
      </w:r>
      <w:r>
        <w:rPr>
          <w:rFonts w:hint="eastAsia" w:ascii="方正仿宋_GBK" w:eastAsia="方正仿宋_GBK" w:cs="方正仿宋_GBK"/>
          <w:kern w:val="2"/>
          <w:sz w:val="32"/>
          <w:szCs w:val="32"/>
          <w:lang w:val="en-US" w:eastAsia="zh-CN" w:bidi="ar-SA"/>
        </w:rPr>
        <w:t>6</w:t>
      </w:r>
      <w:r>
        <w:rPr>
          <w:rFonts w:hint="eastAsia" w:ascii="方正仿宋_GBK" w:eastAsia="方正仿宋_GBK" w:cs="方正仿宋_GBK"/>
          <w:kern w:val="2"/>
          <w:sz w:val="32"/>
          <w:szCs w:val="32"/>
          <w:lang w:bidi="ar-SA"/>
        </w:rPr>
        <w:t>日起施行，有效期至2026年11月</w:t>
      </w:r>
      <w:r>
        <w:rPr>
          <w:rFonts w:hint="eastAsia" w:ascii="方正仿宋_GBK" w:eastAsia="方正仿宋_GBK" w:cs="方正仿宋_GBK"/>
          <w:kern w:val="2"/>
          <w:sz w:val="32"/>
          <w:szCs w:val="32"/>
          <w:lang w:val="en-US" w:eastAsia="zh-CN" w:bidi="ar-SA"/>
        </w:rPr>
        <w:t>5</w:t>
      </w:r>
      <w:r>
        <w:rPr>
          <w:rFonts w:hint="eastAsia" w:ascii="方正仿宋_GBK" w:eastAsia="方正仿宋_GBK" w:cs="方正仿宋_GBK"/>
          <w:kern w:val="2"/>
          <w:sz w:val="32"/>
          <w:szCs w:val="32"/>
          <w:lang w:bidi="ar-SA"/>
        </w:rPr>
        <w:t>日。</w:t>
      </w:r>
    </w:p>
    <w:p w14:paraId="53DA3AA6">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p>
    <w:p w14:paraId="65BC0FD9">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附件：1.药品上市后生产场地变更优先受理审评申请表</w:t>
      </w:r>
    </w:p>
    <w:p w14:paraId="3A7C199F">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1920" w:hanging="1920" w:hangingChars="600"/>
        <w:jc w:val="both"/>
        <w:rPr>
          <w:rFonts w:hint="eastAsia" w:ascii="方正仿宋_GBK" w:eastAsia="方正仿宋_GBK" w:cs="方正仿宋_GBK"/>
          <w:kern w:val="2"/>
          <w:sz w:val="32"/>
          <w:szCs w:val="32"/>
          <w:lang w:bidi="ar-SA"/>
        </w:rPr>
      </w:pPr>
      <w:r>
        <w:rPr>
          <w:rFonts w:hint="eastAsia" w:ascii="方正仿宋_GBK" w:eastAsia="方正仿宋_GBK" w:cs="方正仿宋_GBK"/>
          <w:kern w:val="2"/>
          <w:sz w:val="32"/>
          <w:szCs w:val="32"/>
          <w:lang w:bidi="ar-SA"/>
        </w:rPr>
        <w:t xml:space="preserve">          2.场地变更前已进行稳定性考察批次产品稳定性考察数据汇总模板</w:t>
      </w:r>
    </w:p>
    <w:p w14:paraId="3E2E0D69">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atLeast"/>
        <w:ind w:left="0" w:firstLine="640" w:firstLineChars="200"/>
        <w:jc w:val="both"/>
        <w:rPr>
          <w:rFonts w:hint="default" w:ascii="Times New Roman" w:hAnsi="Times New Roman" w:eastAsia="仿宋"/>
          <w:kern w:val="2"/>
          <w:sz w:val="32"/>
          <w:szCs w:val="32"/>
        </w:rPr>
      </w:pPr>
    </w:p>
    <w:p w14:paraId="6D4FF1BC">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ascii="Times New Roman" w:hAnsi="Times New Roman" w:eastAsia="黑体"/>
          <w:color w:val="333333"/>
          <w:kern w:val="2"/>
          <w:sz w:val="32"/>
          <w:szCs w:val="32"/>
          <w:shd w:val="clear" w:color="auto" w:fill="FFFFFF"/>
        </w:rPr>
      </w:pPr>
    </w:p>
    <w:p w14:paraId="35DA0DBD">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ascii="Times New Roman" w:hAnsi="Times New Roman" w:eastAsia="黑体"/>
          <w:color w:val="333333"/>
          <w:kern w:val="2"/>
          <w:sz w:val="32"/>
          <w:szCs w:val="32"/>
          <w:shd w:val="clear" w:color="auto" w:fill="FFFFFF"/>
        </w:rPr>
      </w:pPr>
    </w:p>
    <w:p w14:paraId="7B7AC285">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ascii="Times New Roman" w:hAnsi="Times New Roman" w:eastAsia="黑体"/>
          <w:color w:val="333333"/>
          <w:kern w:val="2"/>
          <w:sz w:val="32"/>
          <w:szCs w:val="32"/>
          <w:shd w:val="clear" w:color="auto" w:fill="FFFFFF"/>
        </w:rPr>
      </w:pPr>
    </w:p>
    <w:p w14:paraId="50A7D27E">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ascii="Times New Roman" w:hAnsi="Times New Roman" w:eastAsia="黑体"/>
          <w:color w:val="333333"/>
          <w:kern w:val="2"/>
          <w:sz w:val="32"/>
          <w:szCs w:val="32"/>
          <w:shd w:val="clear" w:color="auto" w:fill="FFFFFF"/>
        </w:rPr>
      </w:pPr>
    </w:p>
    <w:p w14:paraId="4ACA6278">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default" w:ascii="Times New Roman" w:hAnsi="Times New Roman" w:eastAsia="黑体"/>
          <w:color w:val="333333"/>
          <w:kern w:val="2"/>
          <w:sz w:val="32"/>
          <w:szCs w:val="32"/>
          <w:shd w:val="clear" w:color="auto" w:fill="FFFFFF"/>
        </w:rPr>
      </w:pPr>
    </w:p>
    <w:p w14:paraId="23F02F7F">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eastAsia" w:ascii="方正黑体_GBK" w:hAnsi="Times New Roman" w:eastAsia="方正黑体_GBK" w:cs="方正黑体_GBK"/>
          <w:color w:val="333333"/>
          <w:kern w:val="2"/>
          <w:sz w:val="32"/>
          <w:szCs w:val="32"/>
          <w:shd w:val="clear" w:color="auto" w:fill="FFFFFF"/>
          <w:lang w:bidi="ar-SA"/>
        </w:rPr>
      </w:pPr>
      <w:r>
        <w:rPr>
          <w:rFonts w:hint="eastAsia" w:ascii="方正黑体_GBK" w:eastAsia="方正黑体_GBK" w:cs="方正黑体_GBK"/>
          <w:color w:val="333333"/>
          <w:kern w:val="2"/>
          <w:sz w:val="32"/>
          <w:szCs w:val="32"/>
          <w:shd w:val="clear" w:color="auto" w:fill="FFFFFF"/>
          <w:lang w:bidi="ar-SA"/>
        </w:rPr>
        <w:t>附件</w:t>
      </w:r>
      <w:r>
        <w:rPr>
          <w:rFonts w:hint="eastAsia" w:ascii="方正黑体_GBK" w:hAnsi="Times New Roman" w:eastAsia="方正黑体_GBK" w:cs="方正黑体_GBK"/>
          <w:color w:val="333333"/>
          <w:kern w:val="2"/>
          <w:sz w:val="32"/>
          <w:szCs w:val="32"/>
          <w:shd w:val="clear" w:color="auto" w:fill="FFFFFF"/>
          <w:lang w:bidi="ar-SA"/>
        </w:rPr>
        <w:t>1</w:t>
      </w:r>
    </w:p>
    <w:p w14:paraId="1D192CB4">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default" w:ascii="Times New Roman" w:hAnsi="Times New Roman" w:eastAsia="黑体"/>
          <w:color w:val="333333"/>
          <w:kern w:val="44"/>
          <w:sz w:val="32"/>
          <w:szCs w:val="32"/>
          <w:shd w:val="clear" w:color="auto" w:fill="FFFFFF"/>
        </w:rPr>
      </w:pPr>
    </w:p>
    <w:p w14:paraId="5EF61208">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center"/>
        <w:rPr>
          <w:rFonts w:hint="default" w:ascii="Times New Roman" w:hAnsi="Times New Roman" w:eastAsia="方正小标宋_GBK"/>
          <w:color w:val="333333"/>
          <w:kern w:val="44"/>
          <w:sz w:val="40"/>
          <w:szCs w:val="40"/>
          <w:shd w:val="clear" w:color="auto" w:fill="FFFFFF"/>
        </w:rPr>
      </w:pPr>
      <w:r>
        <w:rPr>
          <w:rFonts w:hint="eastAsia" w:ascii="方正小标宋_GBK" w:eastAsia="方正小标宋_GBK"/>
          <w:color w:val="333333"/>
          <w:kern w:val="44"/>
          <w:sz w:val="40"/>
          <w:szCs w:val="40"/>
          <w:shd w:val="clear" w:color="auto" w:fill="FFFFFF"/>
        </w:rPr>
        <w:t>药品上市</w:t>
      </w:r>
      <w:r>
        <w:rPr>
          <w:rFonts w:hint="eastAsia" w:ascii="Times New Roman" w:hAnsi="Times New Roman" w:eastAsia="方正小标宋_GBK" w:cs="Times New Roman"/>
          <w:color w:val="333333"/>
          <w:kern w:val="44"/>
          <w:sz w:val="40"/>
          <w:szCs w:val="40"/>
          <w:shd w:val="clear" w:color="auto" w:fill="FFFFFF"/>
          <w:lang w:bidi="ar-SA"/>
        </w:rPr>
        <w:t>后</w:t>
      </w:r>
      <w:r>
        <w:rPr>
          <w:rFonts w:hint="eastAsia" w:ascii="方正小标宋_GBK" w:eastAsia="方正小标宋_GBK"/>
          <w:color w:val="333333"/>
          <w:kern w:val="44"/>
          <w:sz w:val="40"/>
          <w:szCs w:val="40"/>
          <w:shd w:val="clear" w:color="auto" w:fill="FFFFFF"/>
        </w:rPr>
        <w:t>生产场地变更优先</w:t>
      </w:r>
      <w:r>
        <w:rPr>
          <w:rFonts w:hint="eastAsia" w:ascii="Times New Roman" w:hAnsi="Times New Roman" w:eastAsia="方正小标宋_GBK" w:cs="Times New Roman"/>
          <w:color w:val="333333"/>
          <w:kern w:val="44"/>
          <w:sz w:val="40"/>
          <w:szCs w:val="40"/>
          <w:shd w:val="clear" w:color="auto" w:fill="FFFFFF"/>
          <w:lang w:bidi="ar-SA"/>
        </w:rPr>
        <w:t>受理</w:t>
      </w:r>
      <w:r>
        <w:rPr>
          <w:rFonts w:hint="eastAsia" w:ascii="方正小标宋_GBK" w:eastAsia="方正小标宋_GBK"/>
          <w:color w:val="333333"/>
          <w:kern w:val="44"/>
          <w:sz w:val="40"/>
          <w:szCs w:val="40"/>
          <w:shd w:val="clear" w:color="auto" w:fill="FFFFFF"/>
        </w:rPr>
        <w:t>审评申请表</w:t>
      </w:r>
    </w:p>
    <w:p w14:paraId="5E3ECF50">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default" w:ascii="Times New Roman" w:hAnsi="Times New Roman" w:eastAsia="黑体"/>
          <w:color w:val="333333"/>
          <w:kern w:val="44"/>
          <w:sz w:val="32"/>
          <w:szCs w:val="32"/>
          <w:shd w:val="clear" w:color="auto" w:fill="FFFFFF"/>
        </w:rPr>
      </w:pPr>
    </w:p>
    <w:tbl>
      <w:tblPr>
        <w:tblStyle w:val="8"/>
        <w:tblW w:w="0" w:type="auto"/>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autofit"/>
        <w:tblCellMar>
          <w:top w:w="0" w:type="dxa"/>
          <w:left w:w="0" w:type="dxa"/>
          <w:bottom w:w="0" w:type="dxa"/>
          <w:right w:w="0" w:type="dxa"/>
        </w:tblCellMar>
      </w:tblPr>
      <w:tblGrid>
        <w:gridCol w:w="2112"/>
        <w:gridCol w:w="2039"/>
        <w:gridCol w:w="2083"/>
        <w:gridCol w:w="2083"/>
      </w:tblGrid>
      <w:tr w14:paraId="54A1E95B">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410"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4998D68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药品名称</w:t>
            </w:r>
          </w:p>
        </w:tc>
        <w:tc>
          <w:tcPr>
            <w:tcW w:w="6205" w:type="dxa"/>
            <w:gridSpan w:val="3"/>
            <w:tcBorders>
              <w:top w:val="single" w:color="auto" w:sz="4" w:space="0"/>
              <w:left w:val="nil"/>
              <w:bottom w:val="single" w:color="auto" w:sz="4" w:space="0"/>
              <w:right w:val="single" w:color="auto" w:sz="4" w:space="0"/>
            </w:tcBorders>
            <w:noWrap w:val="0"/>
            <w:vAlign w:val="center"/>
          </w:tcPr>
          <w:p w14:paraId="3B1AAF8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r>
      <w:tr w14:paraId="33C665B0">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02"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7865594A">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申请人</w:t>
            </w:r>
          </w:p>
        </w:tc>
        <w:tc>
          <w:tcPr>
            <w:tcW w:w="6205" w:type="dxa"/>
            <w:gridSpan w:val="3"/>
            <w:tcBorders>
              <w:top w:val="single" w:color="auto" w:sz="4" w:space="0"/>
              <w:left w:val="nil"/>
              <w:bottom w:val="single" w:color="auto" w:sz="4" w:space="0"/>
              <w:right w:val="single" w:color="auto" w:sz="4" w:space="0"/>
            </w:tcBorders>
            <w:noWrap w:val="0"/>
            <w:vAlign w:val="center"/>
          </w:tcPr>
          <w:p w14:paraId="3170DE7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r>
      <w:tr w14:paraId="3F46B758">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97"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0347041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规格</w:t>
            </w:r>
          </w:p>
        </w:tc>
        <w:tc>
          <w:tcPr>
            <w:tcW w:w="6205" w:type="dxa"/>
            <w:gridSpan w:val="3"/>
            <w:tcBorders>
              <w:top w:val="single" w:color="auto" w:sz="4" w:space="0"/>
              <w:left w:val="nil"/>
              <w:bottom w:val="single" w:color="auto" w:sz="4" w:space="0"/>
              <w:right w:val="single" w:color="auto" w:sz="4" w:space="0"/>
            </w:tcBorders>
            <w:noWrap w:val="0"/>
            <w:vAlign w:val="center"/>
          </w:tcPr>
          <w:p w14:paraId="761C866C">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r>
      <w:tr w14:paraId="643F5DF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97"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1C4D241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剂型</w:t>
            </w:r>
          </w:p>
        </w:tc>
        <w:tc>
          <w:tcPr>
            <w:tcW w:w="2039" w:type="dxa"/>
            <w:tcBorders>
              <w:top w:val="single" w:color="auto" w:sz="4" w:space="0"/>
              <w:left w:val="nil"/>
              <w:bottom w:val="single" w:color="auto" w:sz="4" w:space="0"/>
              <w:right w:val="single" w:color="auto" w:sz="4" w:space="0"/>
            </w:tcBorders>
            <w:noWrap w:val="0"/>
            <w:vAlign w:val="center"/>
          </w:tcPr>
          <w:p w14:paraId="6FE7601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c>
          <w:tcPr>
            <w:tcW w:w="2083" w:type="dxa"/>
            <w:tcBorders>
              <w:top w:val="single" w:color="auto" w:sz="4" w:space="0"/>
              <w:left w:val="nil"/>
              <w:bottom w:val="single" w:color="auto" w:sz="4" w:space="0"/>
              <w:right w:val="single" w:color="auto" w:sz="4" w:space="0"/>
            </w:tcBorders>
            <w:noWrap w:val="0"/>
            <w:vAlign w:val="center"/>
          </w:tcPr>
          <w:p w14:paraId="04F75C2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注册分类</w:t>
            </w:r>
          </w:p>
        </w:tc>
        <w:tc>
          <w:tcPr>
            <w:tcW w:w="2083" w:type="dxa"/>
            <w:tcBorders>
              <w:top w:val="single" w:color="auto" w:sz="4" w:space="0"/>
              <w:left w:val="nil"/>
              <w:bottom w:val="single" w:color="auto" w:sz="4" w:space="0"/>
              <w:right w:val="single" w:color="auto" w:sz="4" w:space="0"/>
            </w:tcBorders>
            <w:noWrap w:val="0"/>
            <w:vAlign w:val="center"/>
          </w:tcPr>
          <w:p w14:paraId="3D86C94A">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r>
      <w:tr w14:paraId="655608BC">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530"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4B35503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适应症</w:t>
            </w:r>
          </w:p>
          <w:p w14:paraId="5889575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（或者功能主治）</w:t>
            </w:r>
          </w:p>
        </w:tc>
        <w:tc>
          <w:tcPr>
            <w:tcW w:w="6205" w:type="dxa"/>
            <w:gridSpan w:val="3"/>
            <w:tcBorders>
              <w:top w:val="single" w:color="auto" w:sz="4" w:space="0"/>
              <w:left w:val="nil"/>
              <w:bottom w:val="single" w:color="auto" w:sz="4" w:space="0"/>
              <w:right w:val="single" w:color="auto" w:sz="4" w:space="0"/>
            </w:tcBorders>
            <w:noWrap w:val="0"/>
            <w:vAlign w:val="center"/>
          </w:tcPr>
          <w:p w14:paraId="2C870E0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tc>
      </w:tr>
      <w:tr w14:paraId="073003B2">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082"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3684FC29">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符合优先受理审评</w:t>
            </w:r>
          </w:p>
          <w:p w14:paraId="2A744D8F">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情形</w:t>
            </w:r>
          </w:p>
        </w:tc>
        <w:tc>
          <w:tcPr>
            <w:tcW w:w="6205" w:type="dxa"/>
            <w:gridSpan w:val="3"/>
            <w:tcBorders>
              <w:top w:val="single" w:color="auto" w:sz="4" w:space="0"/>
              <w:left w:val="nil"/>
              <w:bottom w:val="single" w:color="auto" w:sz="4" w:space="0"/>
              <w:right w:val="single" w:color="auto" w:sz="4" w:space="0"/>
            </w:tcBorders>
            <w:noWrap w:val="0"/>
            <w:vAlign w:val="center"/>
          </w:tcPr>
          <w:p w14:paraId="1AB7C35C">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sz w:val="24"/>
                <w:shd w:val="clear" w:color="auto" w:fill="FFFFFF"/>
                <w:lang w:bidi="ar-SA"/>
              </w:rPr>
              <w:t>国家药品监督管理局按优先审评审批程序批准上市的未满3年的药品</w:t>
            </w:r>
          </w:p>
          <w:p w14:paraId="3F82A71F">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获批上市未满3年的创新药</w:t>
            </w:r>
          </w:p>
          <w:p w14:paraId="141EFBDF">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0"/>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国家级集采中标且急需扩增产能的已上市药品</w:t>
            </w:r>
          </w:p>
          <w:p w14:paraId="42159F13">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0"/>
                <w:sz w:val="24"/>
                <w:szCs w:val="24"/>
                <w:shd w:val="clear" w:color="auto" w:fill="FFFFFF"/>
                <w:lang w:bidi="ar-SA"/>
              </w:rPr>
            </w:pPr>
            <w:r>
              <w:rPr>
                <w:rFonts w:hint="eastAsia" w:ascii="方正仿宋_GBK" w:eastAsia="方正仿宋_GBK" w:cs="方正仿宋_GBK"/>
                <w:color w:val="333333"/>
                <w:kern w:val="0"/>
                <w:sz w:val="24"/>
                <w:szCs w:val="24"/>
                <w:shd w:val="clear" w:color="auto" w:fill="FFFFFF"/>
                <w:lang w:bidi="ar-SA"/>
              </w:rPr>
              <w:t>纳入最新版国家或江苏省短缺药品目录的</w:t>
            </w:r>
            <w:r>
              <w:rPr>
                <w:rFonts w:hint="eastAsia" w:ascii="方正仿宋_GBK" w:eastAsia="方正仿宋_GBK" w:cs="方正仿宋_GBK"/>
                <w:color w:val="333333"/>
                <w:kern w:val="2"/>
                <w:sz w:val="24"/>
                <w:szCs w:val="24"/>
                <w:shd w:val="clear" w:color="auto" w:fill="FFFFFF"/>
                <w:lang w:bidi="ar-SA"/>
              </w:rPr>
              <w:t>已上市药品</w:t>
            </w:r>
          </w:p>
          <w:p w14:paraId="19DBF05B">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0"/>
                <w:sz w:val="24"/>
                <w:szCs w:val="24"/>
                <w:shd w:val="clear" w:color="auto" w:fill="FFFFFF"/>
                <w:lang w:bidi="ar-SA"/>
              </w:rPr>
              <w:t>应对突发公共卫生事件急需的已上市药品</w:t>
            </w:r>
          </w:p>
          <w:p w14:paraId="02DBF447">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hAnsi="Times New Roman" w:eastAsia="方正仿宋_GBK" w:cs="方正仿宋_GBK"/>
                <w:color w:val="333333"/>
                <w:kern w:val="0"/>
                <w:sz w:val="24"/>
                <w:szCs w:val="24"/>
                <w:shd w:val="clear" w:color="auto" w:fill="FFFFFF"/>
                <w:lang w:bidi="ar-SA"/>
              </w:rPr>
            </w:pPr>
            <w:r>
              <w:rPr>
                <w:rFonts w:hint="eastAsia" w:ascii="方正仿宋_GBK" w:eastAsia="方正仿宋_GBK" w:cs="方正仿宋_GBK"/>
                <w:color w:val="333333"/>
                <w:kern w:val="0"/>
                <w:sz w:val="24"/>
                <w:szCs w:val="24"/>
                <w:shd w:val="clear" w:color="auto" w:fill="FFFFFF"/>
                <w:lang w:bidi="ar-SA"/>
              </w:rPr>
              <w:t>其他按照规定可优先受理审评的已上市药品</w:t>
            </w:r>
          </w:p>
        </w:tc>
      </w:tr>
      <w:tr w14:paraId="39E7A496">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664"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7494F81E">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相关证明性资料</w:t>
            </w:r>
          </w:p>
        </w:tc>
        <w:tc>
          <w:tcPr>
            <w:tcW w:w="6205" w:type="dxa"/>
            <w:gridSpan w:val="3"/>
            <w:tcBorders>
              <w:top w:val="single" w:color="auto" w:sz="4" w:space="0"/>
              <w:left w:val="nil"/>
              <w:bottom w:val="single" w:color="auto" w:sz="4" w:space="0"/>
              <w:right w:val="single" w:color="auto" w:sz="4" w:space="0"/>
            </w:tcBorders>
            <w:noWrap w:val="0"/>
            <w:vAlign w:val="center"/>
          </w:tcPr>
          <w:p w14:paraId="3BF43EDF">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按优先审评审批程序获准上市的，附国家药品监督管理局药品审评中心网站“纳入优先审评品种名单”截图等</w:t>
            </w:r>
          </w:p>
          <w:p w14:paraId="60BB5E15">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创新药附药品注册证书，其中生物制品创新药还需附国家药品监督管理局药品审评中心网站“受理品种信息”截图</w:t>
            </w:r>
          </w:p>
          <w:p w14:paraId="3B5378AC">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国家级集采中标的，附集采中标证明性文件</w:t>
            </w:r>
          </w:p>
          <w:p w14:paraId="02DB54A7">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纳入最新版国家或江苏省短缺药品目录的，提交相关药品目录</w:t>
            </w:r>
          </w:p>
          <w:p w14:paraId="0EAE4B07">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应对突发公共卫生事件急需的，提交法定职能部门公布的相关药品目录</w:t>
            </w:r>
          </w:p>
          <w:p w14:paraId="1280A9A5">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eastAsia="方正仿宋_GBK" w:cs="方正仿宋_GBK"/>
                <w:color w:val="333333"/>
                <w:kern w:val="0"/>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其他可以提交的材料</w:t>
            </w:r>
          </w:p>
          <w:p w14:paraId="0377E5A0">
            <w:pPr>
              <w:pStyle w:val="5"/>
              <w:keepNext w:val="0"/>
              <w:keepLines w:val="0"/>
              <w:pageBreakBefore w:val="0"/>
              <w:widowControl/>
              <w:numPr>
                <w:ilvl w:val="0"/>
                <w:numId w:val="1"/>
              </w:numPr>
              <w:suppressLineNumbers w:val="0"/>
              <w:suppressAutoHyphens w:val="0"/>
              <w:kinsoku/>
              <w:wordWrap/>
              <w:overflowPunct/>
              <w:topLinePunct w:val="0"/>
              <w:autoSpaceDE/>
              <w:autoSpaceDN/>
              <w:adjustRightInd w:val="0"/>
              <w:snapToGrid w:val="0"/>
              <w:spacing w:before="0" w:beforeAutospacing="0" w:after="0" w:afterAutospacing="0" w:line="590" w:lineRule="exact"/>
              <w:ind w:left="420" w:right="0" w:hanging="420"/>
              <w:jc w:val="both"/>
              <w:rPr>
                <w:rFonts w:hint="eastAsia" w:ascii="方正仿宋_GBK" w:hAnsi="Times New Roman" w:eastAsia="方正仿宋_GBK" w:cs="方正仿宋_GBK"/>
                <w:color w:val="333333"/>
                <w:kern w:val="0"/>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省药品监督管理局或属地检查分局对企业落实质量安全主体责任的年度评估结果（应对突发公共卫生事件急需的已上市药品，该项可不用提供）</w:t>
            </w:r>
          </w:p>
        </w:tc>
      </w:tr>
      <w:tr w14:paraId="432DAC6F">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1860" w:hRule="atLeast"/>
          <w:jc w:val="center"/>
        </w:trPr>
        <w:tc>
          <w:tcPr>
            <w:tcW w:w="2112" w:type="dxa"/>
            <w:tcBorders>
              <w:top w:val="single" w:color="auto" w:sz="4" w:space="0"/>
              <w:left w:val="single" w:color="auto" w:sz="4" w:space="0"/>
              <w:bottom w:val="single" w:color="auto" w:sz="4" w:space="0"/>
              <w:right w:val="single" w:color="auto" w:sz="4" w:space="0"/>
            </w:tcBorders>
            <w:noWrap w:val="0"/>
            <w:vAlign w:val="center"/>
          </w:tcPr>
          <w:p w14:paraId="05709FA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申请人</w:t>
            </w:r>
          </w:p>
          <w:p w14:paraId="7D95724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企业负责人</w:t>
            </w:r>
          </w:p>
          <w:p w14:paraId="731E6E8A">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签名</w:t>
            </w:r>
          </w:p>
        </w:tc>
        <w:tc>
          <w:tcPr>
            <w:tcW w:w="6205" w:type="dxa"/>
            <w:gridSpan w:val="3"/>
            <w:tcBorders>
              <w:top w:val="single" w:color="auto" w:sz="4" w:space="0"/>
              <w:left w:val="nil"/>
              <w:bottom w:val="single" w:color="auto" w:sz="4" w:space="0"/>
              <w:right w:val="single" w:color="auto" w:sz="4" w:space="0"/>
            </w:tcBorders>
            <w:noWrap w:val="0"/>
            <w:vAlign w:val="center"/>
          </w:tcPr>
          <w:p w14:paraId="4A987B3A">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p>
          <w:p w14:paraId="463FFE1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color w:val="333333"/>
                <w:kern w:val="2"/>
                <w:sz w:val="24"/>
                <w:szCs w:val="24"/>
                <w:shd w:val="clear" w:color="auto" w:fill="FFFFFF"/>
                <w:lang w:bidi="ar-SA"/>
              </w:rPr>
            </w:pPr>
            <w:r>
              <w:rPr>
                <w:rFonts w:hint="eastAsia" w:ascii="方正仿宋_GBK" w:hAnsi="Times New Roman" w:eastAsia="方正仿宋_GBK" w:cs="方正仿宋_GBK"/>
                <w:color w:val="333333"/>
                <w:kern w:val="2"/>
                <w:sz w:val="24"/>
                <w:szCs w:val="24"/>
                <w:shd w:val="clear" w:color="auto" w:fill="FFFFFF"/>
                <w:lang w:bidi="ar-SA"/>
              </w:rPr>
              <w:t xml:space="preserve">            </w:t>
            </w:r>
            <w:r>
              <w:rPr>
                <w:rFonts w:hint="eastAsia" w:ascii="方正仿宋_GBK" w:eastAsia="方正仿宋_GBK" w:cs="方正仿宋_GBK"/>
                <w:color w:val="333333"/>
                <w:kern w:val="2"/>
                <w:sz w:val="24"/>
                <w:szCs w:val="24"/>
                <w:shd w:val="clear" w:color="auto" w:fill="FFFFFF"/>
                <w:lang w:bidi="ar-SA"/>
              </w:rPr>
              <w:t xml:space="preserve"> 公章：</w:t>
            </w:r>
          </w:p>
          <w:p w14:paraId="2D9C183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color w:val="333333"/>
                <w:kern w:val="2"/>
                <w:sz w:val="24"/>
                <w:szCs w:val="24"/>
                <w:shd w:val="clear" w:color="auto" w:fill="FFFFFF"/>
                <w:lang w:bidi="ar-SA"/>
              </w:rPr>
            </w:pPr>
            <w:r>
              <w:rPr>
                <w:rFonts w:hint="eastAsia" w:ascii="方正仿宋_GBK" w:eastAsia="方正仿宋_GBK" w:cs="方正仿宋_GBK"/>
                <w:color w:val="333333"/>
                <w:kern w:val="2"/>
                <w:sz w:val="24"/>
                <w:szCs w:val="24"/>
                <w:shd w:val="clear" w:color="auto" w:fill="FFFFFF"/>
                <w:lang w:bidi="ar-SA"/>
              </w:rPr>
              <w:t xml:space="preserve">                          年      月       日</w:t>
            </w:r>
          </w:p>
        </w:tc>
      </w:tr>
    </w:tbl>
    <w:p w14:paraId="37F57FEB">
      <w:pPr>
        <w:sectPr>
          <w:footerReference r:id="rId3" w:type="default"/>
          <w:pgSz w:w="11906" w:h="16838"/>
          <w:pgMar w:top="1814" w:right="1531" w:bottom="1984" w:left="1531" w:header="720" w:footer="1474" w:gutter="0"/>
          <w:pgNumType w:fmt="decimal"/>
          <w:cols w:space="720" w:num="1"/>
          <w:rtlGutter w:val="0"/>
          <w:docGrid w:type="lines" w:linePitch="312" w:charSpace="0"/>
        </w:sectPr>
      </w:pPr>
    </w:p>
    <w:p w14:paraId="2274C1FE">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eastAsia" w:ascii="方正黑体_GBK" w:hAnsi="Times New Roman" w:eastAsia="方正黑体_GBK" w:cs="方正黑体_GBK"/>
          <w:kern w:val="2"/>
          <w:sz w:val="32"/>
          <w:szCs w:val="32"/>
          <w:lang w:bidi="ar-SA"/>
        </w:rPr>
      </w:pPr>
      <w:r>
        <w:rPr>
          <w:rFonts w:hint="eastAsia" w:ascii="方正黑体_GBK" w:eastAsia="方正黑体_GBK" w:cs="方正黑体_GBK"/>
          <w:kern w:val="2"/>
          <w:sz w:val="32"/>
          <w:szCs w:val="32"/>
          <w:lang w:bidi="ar-SA"/>
        </w:rPr>
        <w:t>附件</w:t>
      </w:r>
      <w:r>
        <w:rPr>
          <w:rFonts w:hint="eastAsia" w:ascii="方正黑体_GBK" w:hAnsi="Times New Roman" w:eastAsia="方正黑体_GBK" w:cs="方正黑体_GBK"/>
          <w:kern w:val="2"/>
          <w:sz w:val="32"/>
          <w:szCs w:val="32"/>
          <w:lang w:bidi="ar-SA"/>
        </w:rPr>
        <w:t>2</w:t>
      </w:r>
    </w:p>
    <w:p w14:paraId="5DCE677B">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default" w:ascii="Times New Roman" w:hAnsi="Times New Roman" w:eastAsia="方正仿宋_GBK"/>
          <w:kern w:val="2"/>
          <w:sz w:val="32"/>
          <w:szCs w:val="32"/>
        </w:rPr>
      </w:pPr>
    </w:p>
    <w:p w14:paraId="7E985F41">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center"/>
        <w:rPr>
          <w:rFonts w:hint="default" w:ascii="Times New Roman" w:hAnsi="Times New Roman" w:eastAsia="方正小标宋_GBK"/>
          <w:kern w:val="2"/>
          <w:sz w:val="40"/>
          <w:szCs w:val="40"/>
        </w:rPr>
      </w:pPr>
      <w:r>
        <w:rPr>
          <w:rFonts w:hint="eastAsia" w:ascii="方正小标宋_GBK" w:eastAsia="方正小标宋_GBK"/>
          <w:kern w:val="2"/>
          <w:sz w:val="40"/>
          <w:szCs w:val="40"/>
        </w:rPr>
        <w:t>场地变更前已进行稳定性考察批次产品</w:t>
      </w:r>
    </w:p>
    <w:p w14:paraId="50963820">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center"/>
        <w:rPr>
          <w:rFonts w:hint="default" w:ascii="Times New Roman" w:hAnsi="Times New Roman" w:eastAsia="方正小标宋_GBK"/>
          <w:kern w:val="2"/>
          <w:sz w:val="40"/>
          <w:szCs w:val="40"/>
        </w:rPr>
      </w:pPr>
      <w:r>
        <w:rPr>
          <w:rFonts w:hint="eastAsia" w:ascii="方正小标宋_GBK" w:eastAsia="方正小标宋_GBK"/>
          <w:kern w:val="2"/>
          <w:sz w:val="40"/>
          <w:szCs w:val="40"/>
        </w:rPr>
        <w:t>稳定性考察数据汇总模板</w:t>
      </w:r>
    </w:p>
    <w:p w14:paraId="33A789AE">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试验条件：</w:t>
      </w:r>
    </w:p>
    <w:tbl>
      <w:tblPr>
        <w:tblStyle w:val="8"/>
        <w:tblW w:w="5273" w:type="pct"/>
        <w:jc w:val="center"/>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Layout w:type="fixed"/>
        <w:tblCellMar>
          <w:top w:w="0" w:type="dxa"/>
          <w:left w:w="0" w:type="dxa"/>
          <w:bottom w:w="0" w:type="dxa"/>
          <w:right w:w="0" w:type="dxa"/>
        </w:tblCellMar>
      </w:tblPr>
      <w:tblGrid>
        <w:gridCol w:w="226"/>
        <w:gridCol w:w="694"/>
        <w:gridCol w:w="981"/>
        <w:gridCol w:w="981"/>
        <w:gridCol w:w="981"/>
        <w:gridCol w:w="981"/>
        <w:gridCol w:w="981"/>
        <w:gridCol w:w="981"/>
        <w:gridCol w:w="981"/>
        <w:gridCol w:w="981"/>
      </w:tblGrid>
      <w:tr w14:paraId="699F12ED">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636" w:hRule="atLeast"/>
          <w:jc w:val="center"/>
        </w:trPr>
        <w:tc>
          <w:tcPr>
            <w:tcW w:w="980" w:type="dxa"/>
            <w:gridSpan w:val="2"/>
            <w:tcBorders>
              <w:top w:val="single" w:color="auto" w:sz="4" w:space="0"/>
              <w:left w:val="single" w:color="auto" w:sz="4" w:space="0"/>
              <w:bottom w:val="single" w:color="auto" w:sz="4" w:space="0"/>
              <w:right w:val="single" w:color="auto" w:sz="4" w:space="0"/>
            </w:tcBorders>
            <w:noWrap w:val="0"/>
            <w:vAlign w:val="center"/>
          </w:tcPr>
          <w:p w14:paraId="008DCBE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检测项目</w:t>
            </w:r>
          </w:p>
        </w:tc>
        <w:tc>
          <w:tcPr>
            <w:tcW w:w="1045" w:type="dxa"/>
            <w:tcBorders>
              <w:top w:val="single" w:color="auto" w:sz="4" w:space="0"/>
              <w:left w:val="nil"/>
              <w:bottom w:val="single" w:color="auto" w:sz="4" w:space="0"/>
              <w:right w:val="single" w:color="auto" w:sz="4" w:space="0"/>
            </w:tcBorders>
            <w:noWrap w:val="0"/>
            <w:vAlign w:val="center"/>
          </w:tcPr>
          <w:p w14:paraId="21D17BD9">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限度要求</w:t>
            </w:r>
          </w:p>
        </w:tc>
        <w:tc>
          <w:tcPr>
            <w:tcW w:w="1045" w:type="dxa"/>
            <w:tcBorders>
              <w:top w:val="single" w:color="auto" w:sz="4" w:space="0"/>
              <w:left w:val="nil"/>
              <w:bottom w:val="single" w:color="auto" w:sz="4" w:space="0"/>
              <w:right w:val="single" w:color="auto" w:sz="4" w:space="0"/>
            </w:tcBorders>
            <w:noWrap w:val="0"/>
            <w:vAlign w:val="center"/>
          </w:tcPr>
          <w:p w14:paraId="2CAE3EB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0月（n=*）</w:t>
            </w:r>
          </w:p>
        </w:tc>
        <w:tc>
          <w:tcPr>
            <w:tcW w:w="1045" w:type="dxa"/>
            <w:tcBorders>
              <w:top w:val="single" w:color="auto" w:sz="4" w:space="0"/>
              <w:left w:val="nil"/>
              <w:bottom w:val="single" w:color="auto" w:sz="4" w:space="0"/>
              <w:right w:val="single" w:color="auto" w:sz="4" w:space="0"/>
            </w:tcBorders>
            <w:noWrap w:val="0"/>
            <w:vAlign w:val="center"/>
          </w:tcPr>
          <w:p w14:paraId="697B973E">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3月（n=*）</w:t>
            </w:r>
          </w:p>
        </w:tc>
        <w:tc>
          <w:tcPr>
            <w:tcW w:w="1045" w:type="dxa"/>
            <w:tcBorders>
              <w:top w:val="single" w:color="auto" w:sz="4" w:space="0"/>
              <w:left w:val="nil"/>
              <w:bottom w:val="single" w:color="auto" w:sz="4" w:space="0"/>
              <w:right w:val="single" w:color="auto" w:sz="4" w:space="0"/>
            </w:tcBorders>
            <w:noWrap w:val="0"/>
            <w:vAlign w:val="center"/>
          </w:tcPr>
          <w:p w14:paraId="4894C38C">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6月（n=*）</w:t>
            </w:r>
          </w:p>
        </w:tc>
        <w:tc>
          <w:tcPr>
            <w:tcW w:w="1045" w:type="dxa"/>
            <w:tcBorders>
              <w:top w:val="single" w:color="auto" w:sz="4" w:space="0"/>
              <w:left w:val="nil"/>
              <w:bottom w:val="single" w:color="auto" w:sz="4" w:space="0"/>
              <w:right w:val="single" w:color="auto" w:sz="4" w:space="0"/>
            </w:tcBorders>
            <w:noWrap w:val="0"/>
            <w:vAlign w:val="center"/>
          </w:tcPr>
          <w:p w14:paraId="53A9702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9月（n=*）</w:t>
            </w:r>
          </w:p>
        </w:tc>
        <w:tc>
          <w:tcPr>
            <w:tcW w:w="1045" w:type="dxa"/>
            <w:tcBorders>
              <w:top w:val="single" w:color="auto" w:sz="4" w:space="0"/>
              <w:left w:val="nil"/>
              <w:bottom w:val="single" w:color="auto" w:sz="4" w:space="0"/>
              <w:right w:val="single" w:color="auto" w:sz="4" w:space="0"/>
            </w:tcBorders>
            <w:noWrap w:val="0"/>
            <w:vAlign w:val="center"/>
          </w:tcPr>
          <w:p w14:paraId="6DAA4CB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12月（n=*）</w:t>
            </w:r>
          </w:p>
        </w:tc>
        <w:tc>
          <w:tcPr>
            <w:tcW w:w="1045" w:type="dxa"/>
            <w:tcBorders>
              <w:top w:val="single" w:color="auto" w:sz="4" w:space="0"/>
              <w:left w:val="nil"/>
              <w:bottom w:val="single" w:color="auto" w:sz="4" w:space="0"/>
              <w:right w:val="single" w:color="auto" w:sz="4" w:space="0"/>
            </w:tcBorders>
            <w:noWrap w:val="0"/>
            <w:vAlign w:val="center"/>
          </w:tcPr>
          <w:p w14:paraId="5C430CEF">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18月（n=*）</w:t>
            </w:r>
          </w:p>
        </w:tc>
        <w:tc>
          <w:tcPr>
            <w:tcW w:w="1045" w:type="dxa"/>
            <w:tcBorders>
              <w:top w:val="single" w:color="auto" w:sz="4" w:space="0"/>
              <w:left w:val="nil"/>
              <w:bottom w:val="single" w:color="auto" w:sz="4" w:space="0"/>
              <w:right w:val="single" w:color="auto" w:sz="4" w:space="0"/>
            </w:tcBorders>
            <w:noWrap w:val="0"/>
            <w:vAlign w:val="top"/>
          </w:tcPr>
          <w:p w14:paraId="15E6F16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2929EBA8">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980" w:type="dxa"/>
            <w:gridSpan w:val="2"/>
            <w:tcBorders>
              <w:top w:val="single" w:color="auto" w:sz="4" w:space="0"/>
              <w:left w:val="single" w:color="auto" w:sz="4" w:space="0"/>
              <w:bottom w:val="single" w:color="auto" w:sz="4" w:space="0"/>
              <w:right w:val="single" w:color="auto" w:sz="4" w:space="0"/>
            </w:tcBorders>
            <w:noWrap w:val="0"/>
            <w:vAlign w:val="center"/>
          </w:tcPr>
          <w:p w14:paraId="7E610CD8">
            <w:pPr>
              <w:keepLines w:val="0"/>
              <w:widowControl w:val="0"/>
              <w:suppressLineNumbers w:val="0"/>
              <w:kinsoku/>
              <w:wordWrap/>
              <w:overflowPunct/>
              <w:topLinePunct w:val="0"/>
              <w:autoSpaceDE/>
              <w:autoSpaceDN/>
              <w:adjustRightInd w:val="0"/>
              <w:snapToGrid w:val="0"/>
              <w:spacing w:after="0" w:afterAutospacing="0" w:line="590" w:lineRule="exact"/>
              <w:ind w:left="0" w:right="0"/>
              <w:jc w:val="center"/>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PH</w:t>
            </w:r>
          </w:p>
        </w:tc>
        <w:tc>
          <w:tcPr>
            <w:tcW w:w="1045" w:type="dxa"/>
            <w:tcBorders>
              <w:top w:val="single" w:color="auto" w:sz="4" w:space="0"/>
              <w:left w:val="nil"/>
              <w:bottom w:val="single" w:color="auto" w:sz="4" w:space="0"/>
              <w:right w:val="single" w:color="auto" w:sz="4" w:space="0"/>
            </w:tcBorders>
            <w:noWrap w:val="0"/>
            <w:vAlign w:val="center"/>
          </w:tcPr>
          <w:p w14:paraId="525FFC6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7.0~8.5</w:t>
            </w:r>
          </w:p>
        </w:tc>
        <w:tc>
          <w:tcPr>
            <w:tcW w:w="1045" w:type="dxa"/>
            <w:tcBorders>
              <w:top w:val="single" w:color="auto" w:sz="4" w:space="0"/>
              <w:left w:val="nil"/>
              <w:bottom w:val="single" w:color="auto" w:sz="4" w:space="0"/>
              <w:right w:val="single" w:color="auto" w:sz="4" w:space="0"/>
            </w:tcBorders>
            <w:noWrap w:val="0"/>
            <w:vAlign w:val="center"/>
          </w:tcPr>
          <w:p w14:paraId="66F30AC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7.7~7.8</w:t>
            </w:r>
          </w:p>
        </w:tc>
        <w:tc>
          <w:tcPr>
            <w:tcW w:w="1045" w:type="dxa"/>
            <w:tcBorders>
              <w:top w:val="single" w:color="auto" w:sz="4" w:space="0"/>
              <w:left w:val="nil"/>
              <w:bottom w:val="single" w:color="auto" w:sz="4" w:space="0"/>
              <w:right w:val="single" w:color="auto" w:sz="4" w:space="0"/>
            </w:tcBorders>
            <w:noWrap w:val="0"/>
            <w:vAlign w:val="center"/>
          </w:tcPr>
          <w:p w14:paraId="694060F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7.7~7.8</w:t>
            </w:r>
          </w:p>
        </w:tc>
        <w:tc>
          <w:tcPr>
            <w:tcW w:w="1045" w:type="dxa"/>
            <w:tcBorders>
              <w:top w:val="single" w:color="auto" w:sz="4" w:space="0"/>
              <w:left w:val="nil"/>
              <w:bottom w:val="single" w:color="auto" w:sz="4" w:space="0"/>
              <w:right w:val="single" w:color="auto" w:sz="4" w:space="0"/>
            </w:tcBorders>
            <w:noWrap w:val="0"/>
            <w:vAlign w:val="center"/>
          </w:tcPr>
          <w:p w14:paraId="2E2EA37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7.7~7.7</w:t>
            </w:r>
          </w:p>
        </w:tc>
        <w:tc>
          <w:tcPr>
            <w:tcW w:w="1045" w:type="dxa"/>
            <w:tcBorders>
              <w:top w:val="single" w:color="auto" w:sz="4" w:space="0"/>
              <w:left w:val="nil"/>
              <w:bottom w:val="single" w:color="auto" w:sz="4" w:space="0"/>
              <w:right w:val="single" w:color="auto" w:sz="4" w:space="0"/>
            </w:tcBorders>
            <w:noWrap w:val="0"/>
            <w:vAlign w:val="center"/>
          </w:tcPr>
          <w:p w14:paraId="3251B17E">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7.6~7.8</w:t>
            </w:r>
          </w:p>
        </w:tc>
        <w:tc>
          <w:tcPr>
            <w:tcW w:w="1045" w:type="dxa"/>
            <w:tcBorders>
              <w:top w:val="single" w:color="auto" w:sz="4" w:space="0"/>
              <w:left w:val="nil"/>
              <w:bottom w:val="single" w:color="auto" w:sz="4" w:space="0"/>
              <w:right w:val="single" w:color="auto" w:sz="4" w:space="0"/>
            </w:tcBorders>
            <w:noWrap w:val="0"/>
            <w:vAlign w:val="center"/>
          </w:tcPr>
          <w:p w14:paraId="697FEA1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7.5~7.9</w:t>
            </w:r>
          </w:p>
        </w:tc>
        <w:tc>
          <w:tcPr>
            <w:tcW w:w="1045" w:type="dxa"/>
            <w:tcBorders>
              <w:top w:val="single" w:color="auto" w:sz="4" w:space="0"/>
              <w:left w:val="nil"/>
              <w:bottom w:val="single" w:color="auto" w:sz="4" w:space="0"/>
              <w:right w:val="single" w:color="auto" w:sz="4" w:space="0"/>
            </w:tcBorders>
            <w:noWrap w:val="0"/>
            <w:vAlign w:val="center"/>
          </w:tcPr>
          <w:p w14:paraId="5C0A293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7.7~7.8</w:t>
            </w:r>
          </w:p>
        </w:tc>
        <w:tc>
          <w:tcPr>
            <w:tcW w:w="1045" w:type="dxa"/>
            <w:tcBorders>
              <w:top w:val="single" w:color="auto" w:sz="4" w:space="0"/>
              <w:left w:val="nil"/>
              <w:bottom w:val="single" w:color="auto" w:sz="4" w:space="0"/>
              <w:right w:val="single" w:color="auto" w:sz="4" w:space="0"/>
            </w:tcBorders>
            <w:noWrap w:val="0"/>
            <w:vAlign w:val="top"/>
          </w:tcPr>
          <w:p w14:paraId="73C0567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2BB5CE3A">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241" w:type="dxa"/>
            <w:vMerge w:val="restart"/>
            <w:tcBorders>
              <w:top w:val="nil"/>
              <w:left w:val="single" w:color="auto" w:sz="4" w:space="0"/>
              <w:bottom w:val="single" w:color="auto" w:sz="4" w:space="0"/>
              <w:right w:val="single" w:color="auto" w:sz="4" w:space="0"/>
            </w:tcBorders>
            <w:noWrap w:val="0"/>
            <w:vAlign w:val="center"/>
          </w:tcPr>
          <w:p w14:paraId="6318AB5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hAnsi="Times New Roman"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有关物质</w:t>
            </w:r>
          </w:p>
        </w:tc>
        <w:tc>
          <w:tcPr>
            <w:tcW w:w="739" w:type="dxa"/>
            <w:tcBorders>
              <w:top w:val="single" w:color="auto" w:sz="4" w:space="0"/>
              <w:left w:val="nil"/>
              <w:bottom w:val="single" w:color="auto" w:sz="4" w:space="0"/>
              <w:right w:val="single" w:color="auto" w:sz="4" w:space="0"/>
            </w:tcBorders>
            <w:noWrap w:val="0"/>
            <w:vAlign w:val="center"/>
          </w:tcPr>
          <w:p w14:paraId="2E67A9B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杂质A</w:t>
            </w:r>
          </w:p>
        </w:tc>
        <w:tc>
          <w:tcPr>
            <w:tcW w:w="1045" w:type="dxa"/>
            <w:tcBorders>
              <w:top w:val="single" w:color="auto" w:sz="4" w:space="0"/>
              <w:left w:val="nil"/>
              <w:bottom w:val="single" w:color="auto" w:sz="4" w:space="0"/>
              <w:right w:val="single" w:color="auto" w:sz="4" w:space="0"/>
            </w:tcBorders>
            <w:noWrap w:val="0"/>
            <w:vAlign w:val="center"/>
          </w:tcPr>
          <w:p w14:paraId="37F24F6A">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≤1.5%</w:t>
            </w:r>
          </w:p>
        </w:tc>
        <w:tc>
          <w:tcPr>
            <w:tcW w:w="1045" w:type="dxa"/>
            <w:tcBorders>
              <w:top w:val="single" w:color="auto" w:sz="4" w:space="0"/>
              <w:left w:val="nil"/>
              <w:bottom w:val="single" w:color="auto" w:sz="4" w:space="0"/>
              <w:right w:val="single" w:color="auto" w:sz="4" w:space="0"/>
            </w:tcBorders>
            <w:noWrap w:val="0"/>
            <w:vAlign w:val="center"/>
          </w:tcPr>
          <w:p w14:paraId="2ABF622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569B483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19F91735">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2BE5A3D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2153CC0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5129487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top"/>
          </w:tcPr>
          <w:p w14:paraId="4D89E17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47B1437A">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241" w:type="dxa"/>
            <w:vMerge w:val="continue"/>
            <w:tcBorders>
              <w:top w:val="nil"/>
              <w:left w:val="single" w:color="auto" w:sz="4" w:space="0"/>
              <w:bottom w:val="single" w:color="auto" w:sz="4" w:space="0"/>
              <w:right w:val="single" w:color="auto" w:sz="4" w:space="0"/>
            </w:tcBorders>
            <w:noWrap w:val="0"/>
            <w:vAlign w:val="center"/>
          </w:tcPr>
          <w:p w14:paraId="3DE2DF10"/>
        </w:tc>
        <w:tc>
          <w:tcPr>
            <w:tcW w:w="739" w:type="dxa"/>
            <w:tcBorders>
              <w:top w:val="single" w:color="auto" w:sz="4" w:space="0"/>
              <w:left w:val="nil"/>
              <w:bottom w:val="single" w:color="auto" w:sz="4" w:space="0"/>
              <w:right w:val="single" w:color="auto" w:sz="4" w:space="0"/>
            </w:tcBorders>
            <w:noWrap w:val="0"/>
            <w:vAlign w:val="center"/>
          </w:tcPr>
          <w:p w14:paraId="399CA83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杂质B</w:t>
            </w:r>
          </w:p>
        </w:tc>
        <w:tc>
          <w:tcPr>
            <w:tcW w:w="1045" w:type="dxa"/>
            <w:tcBorders>
              <w:top w:val="single" w:color="auto" w:sz="4" w:space="0"/>
              <w:left w:val="nil"/>
              <w:bottom w:val="single" w:color="auto" w:sz="4" w:space="0"/>
              <w:right w:val="single" w:color="auto" w:sz="4" w:space="0"/>
            </w:tcBorders>
            <w:noWrap w:val="0"/>
            <w:vAlign w:val="center"/>
          </w:tcPr>
          <w:p w14:paraId="71E8D30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≤1.0%</w:t>
            </w:r>
          </w:p>
        </w:tc>
        <w:tc>
          <w:tcPr>
            <w:tcW w:w="1045" w:type="dxa"/>
            <w:tcBorders>
              <w:top w:val="single" w:color="auto" w:sz="4" w:space="0"/>
              <w:left w:val="nil"/>
              <w:bottom w:val="single" w:color="auto" w:sz="4" w:space="0"/>
              <w:right w:val="single" w:color="auto" w:sz="4" w:space="0"/>
            </w:tcBorders>
            <w:noWrap w:val="0"/>
            <w:vAlign w:val="center"/>
          </w:tcPr>
          <w:p w14:paraId="316CB36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2DE41E9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35F99A5">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272840C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40B31FB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B1EA39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top"/>
          </w:tcPr>
          <w:p w14:paraId="4B3B1C7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3AFB7E1A">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241" w:type="dxa"/>
            <w:vMerge w:val="continue"/>
            <w:tcBorders>
              <w:top w:val="nil"/>
              <w:left w:val="single" w:color="auto" w:sz="4" w:space="0"/>
              <w:bottom w:val="single" w:color="auto" w:sz="4" w:space="0"/>
              <w:right w:val="single" w:color="auto" w:sz="4" w:space="0"/>
            </w:tcBorders>
            <w:noWrap w:val="0"/>
            <w:vAlign w:val="center"/>
          </w:tcPr>
          <w:p w14:paraId="45DAAD9F"/>
        </w:tc>
        <w:tc>
          <w:tcPr>
            <w:tcW w:w="739" w:type="dxa"/>
            <w:tcBorders>
              <w:top w:val="single" w:color="auto" w:sz="4" w:space="0"/>
              <w:left w:val="nil"/>
              <w:bottom w:val="single" w:color="auto" w:sz="4" w:space="0"/>
              <w:right w:val="single" w:color="auto" w:sz="4" w:space="0"/>
            </w:tcBorders>
            <w:noWrap w:val="0"/>
            <w:vAlign w:val="center"/>
          </w:tcPr>
          <w:p w14:paraId="39FFE46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杂质C</w:t>
            </w:r>
          </w:p>
        </w:tc>
        <w:tc>
          <w:tcPr>
            <w:tcW w:w="1045" w:type="dxa"/>
            <w:tcBorders>
              <w:top w:val="single" w:color="auto" w:sz="4" w:space="0"/>
              <w:left w:val="nil"/>
              <w:bottom w:val="single" w:color="auto" w:sz="4" w:space="0"/>
              <w:right w:val="single" w:color="auto" w:sz="4" w:space="0"/>
            </w:tcBorders>
            <w:noWrap w:val="0"/>
            <w:vAlign w:val="center"/>
          </w:tcPr>
          <w:p w14:paraId="5A840C65">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≤0.5%</w:t>
            </w:r>
          </w:p>
        </w:tc>
        <w:tc>
          <w:tcPr>
            <w:tcW w:w="1045" w:type="dxa"/>
            <w:tcBorders>
              <w:top w:val="single" w:color="auto" w:sz="4" w:space="0"/>
              <w:left w:val="nil"/>
              <w:bottom w:val="single" w:color="auto" w:sz="4" w:space="0"/>
              <w:right w:val="single" w:color="auto" w:sz="4" w:space="0"/>
            </w:tcBorders>
            <w:noWrap w:val="0"/>
            <w:vAlign w:val="center"/>
          </w:tcPr>
          <w:p w14:paraId="0919BB0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DC5244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64491B29">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3E4FDD3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3E1B432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2E64007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top"/>
          </w:tcPr>
          <w:p w14:paraId="3A229F7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77CCE1E8">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241" w:type="dxa"/>
            <w:vMerge w:val="continue"/>
            <w:tcBorders>
              <w:top w:val="nil"/>
              <w:left w:val="single" w:color="auto" w:sz="4" w:space="0"/>
              <w:bottom w:val="single" w:color="auto" w:sz="4" w:space="0"/>
              <w:right w:val="single" w:color="auto" w:sz="4" w:space="0"/>
            </w:tcBorders>
            <w:noWrap w:val="0"/>
            <w:vAlign w:val="center"/>
          </w:tcPr>
          <w:p w14:paraId="1EDA0FB2"/>
        </w:tc>
        <w:tc>
          <w:tcPr>
            <w:tcW w:w="739" w:type="dxa"/>
            <w:tcBorders>
              <w:top w:val="single" w:color="auto" w:sz="4" w:space="0"/>
              <w:left w:val="nil"/>
              <w:bottom w:val="single" w:color="auto" w:sz="4" w:space="0"/>
              <w:right w:val="single" w:color="auto" w:sz="4" w:space="0"/>
            </w:tcBorders>
            <w:noWrap w:val="0"/>
            <w:vAlign w:val="center"/>
          </w:tcPr>
          <w:p w14:paraId="3F5FD38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c>
          <w:tcPr>
            <w:tcW w:w="1045" w:type="dxa"/>
            <w:tcBorders>
              <w:top w:val="single" w:color="auto" w:sz="4" w:space="0"/>
              <w:left w:val="nil"/>
              <w:bottom w:val="single" w:color="auto" w:sz="4" w:space="0"/>
              <w:right w:val="single" w:color="auto" w:sz="4" w:space="0"/>
            </w:tcBorders>
            <w:noWrap w:val="0"/>
            <w:vAlign w:val="center"/>
          </w:tcPr>
          <w:p w14:paraId="21C7209E">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600AD92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1C0A1A9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6CCA7B7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4FB979DF">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3115FF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6228B3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top"/>
          </w:tcPr>
          <w:p w14:paraId="4D3AD30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p>
        </w:tc>
      </w:tr>
      <w:tr w14:paraId="47DC328D">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980" w:type="dxa"/>
            <w:gridSpan w:val="2"/>
            <w:tcBorders>
              <w:top w:val="single" w:color="auto" w:sz="4" w:space="0"/>
              <w:left w:val="single" w:color="auto" w:sz="4" w:space="0"/>
              <w:bottom w:val="single" w:color="auto" w:sz="4" w:space="0"/>
              <w:right w:val="single" w:color="auto" w:sz="4" w:space="0"/>
            </w:tcBorders>
            <w:noWrap w:val="0"/>
            <w:vAlign w:val="center"/>
          </w:tcPr>
          <w:p w14:paraId="4BA18A6F">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c>
          <w:tcPr>
            <w:tcW w:w="1045" w:type="dxa"/>
            <w:tcBorders>
              <w:top w:val="single" w:color="auto" w:sz="4" w:space="0"/>
              <w:left w:val="nil"/>
              <w:bottom w:val="single" w:color="auto" w:sz="4" w:space="0"/>
              <w:right w:val="single" w:color="auto" w:sz="4" w:space="0"/>
            </w:tcBorders>
            <w:noWrap w:val="0"/>
            <w:vAlign w:val="center"/>
          </w:tcPr>
          <w:p w14:paraId="66BBFB27">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20A2909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4AC3859">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00E88A49">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0306A07C">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11B259F5">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66D97E02">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top"/>
          </w:tcPr>
          <w:p w14:paraId="18365BA3">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p>
        </w:tc>
      </w:tr>
      <w:tr w14:paraId="67912516">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636" w:hRule="atLeast"/>
          <w:jc w:val="center"/>
        </w:trPr>
        <w:tc>
          <w:tcPr>
            <w:tcW w:w="980" w:type="dxa"/>
            <w:gridSpan w:val="2"/>
            <w:tcBorders>
              <w:top w:val="single" w:color="auto" w:sz="4" w:space="0"/>
              <w:left w:val="single" w:color="auto" w:sz="4" w:space="0"/>
              <w:bottom w:val="single" w:color="auto" w:sz="4" w:space="0"/>
              <w:right w:val="single" w:color="auto" w:sz="4" w:space="0"/>
            </w:tcBorders>
            <w:noWrap w:val="0"/>
            <w:vAlign w:val="center"/>
          </w:tcPr>
          <w:p w14:paraId="7A1AED9A">
            <w:pPr>
              <w:keepLines w:val="0"/>
              <w:widowControl w:val="0"/>
              <w:suppressLineNumbers w:val="0"/>
              <w:kinsoku/>
              <w:wordWrap/>
              <w:overflowPunct/>
              <w:topLinePunct w:val="0"/>
              <w:autoSpaceDE/>
              <w:autoSpaceDN/>
              <w:adjustRightInd w:val="0"/>
              <w:snapToGrid w:val="0"/>
              <w:spacing w:after="0" w:afterAutospacing="0" w:line="590" w:lineRule="exact"/>
              <w:ind w:left="0" w:right="0"/>
              <w:jc w:val="center"/>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含量</w:t>
            </w:r>
          </w:p>
        </w:tc>
        <w:tc>
          <w:tcPr>
            <w:tcW w:w="1045" w:type="dxa"/>
            <w:tcBorders>
              <w:top w:val="single" w:color="auto" w:sz="4" w:space="0"/>
              <w:left w:val="nil"/>
              <w:bottom w:val="single" w:color="auto" w:sz="4" w:space="0"/>
              <w:right w:val="single" w:color="auto" w:sz="4" w:space="0"/>
            </w:tcBorders>
            <w:noWrap w:val="0"/>
            <w:vAlign w:val="center"/>
          </w:tcPr>
          <w:p w14:paraId="4A87237C">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≥98.0%</w:t>
            </w:r>
          </w:p>
        </w:tc>
        <w:tc>
          <w:tcPr>
            <w:tcW w:w="1045" w:type="dxa"/>
            <w:tcBorders>
              <w:top w:val="single" w:color="auto" w:sz="4" w:space="0"/>
              <w:left w:val="nil"/>
              <w:bottom w:val="single" w:color="auto" w:sz="4" w:space="0"/>
              <w:right w:val="single" w:color="auto" w:sz="4" w:space="0"/>
            </w:tcBorders>
            <w:noWrap w:val="0"/>
            <w:vAlign w:val="center"/>
          </w:tcPr>
          <w:p w14:paraId="7355D25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1E56C3D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3D8E0CB5">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0CD35646">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14C86254">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center"/>
          </w:tcPr>
          <w:p w14:paraId="4216D60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r>
              <w:rPr>
                <w:rFonts w:hint="eastAsia" w:ascii="方正仿宋_GBK" w:eastAsia="方正仿宋_GBK" w:cs="方正仿宋_GBK"/>
                <w:kern w:val="2"/>
                <w:sz w:val="18"/>
                <w:szCs w:val="18"/>
                <w:lang w:bidi="ar-SA"/>
              </w:rPr>
              <w:t>XX%~XX%</w:t>
            </w:r>
          </w:p>
        </w:tc>
        <w:tc>
          <w:tcPr>
            <w:tcW w:w="1045" w:type="dxa"/>
            <w:tcBorders>
              <w:top w:val="single" w:color="auto" w:sz="4" w:space="0"/>
              <w:left w:val="nil"/>
              <w:bottom w:val="single" w:color="auto" w:sz="4" w:space="0"/>
              <w:right w:val="single" w:color="auto" w:sz="4" w:space="0"/>
            </w:tcBorders>
            <w:noWrap w:val="0"/>
            <w:vAlign w:val="top"/>
          </w:tcPr>
          <w:p w14:paraId="2FAE790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r w14:paraId="3562B456">
        <w:tblPrEx>
          <w:tblBorders>
            <w:top w:val="single" w:color="auto" w:sz="4" w:space="0"/>
            <w:left w:val="single" w:color="auto" w:sz="4" w:space="0"/>
            <w:bottom w:val="single" w:color="auto" w:sz="4" w:space="0"/>
            <w:right w:val="single" w:color="auto" w:sz="4" w:space="0"/>
            <w:insideH w:val="outset" w:color="auto" w:sz="6" w:space="0"/>
            <w:insideV w:val="outset" w:color="auto" w:sz="6" w:space="0"/>
          </w:tblBorders>
          <w:tblCellMar>
            <w:top w:w="0" w:type="dxa"/>
            <w:left w:w="0" w:type="dxa"/>
            <w:bottom w:w="0" w:type="dxa"/>
            <w:right w:w="0" w:type="dxa"/>
          </w:tblCellMar>
        </w:tblPrEx>
        <w:trPr>
          <w:trHeight w:val="333" w:hRule="atLeast"/>
          <w:jc w:val="center"/>
        </w:trPr>
        <w:tc>
          <w:tcPr>
            <w:tcW w:w="980" w:type="dxa"/>
            <w:gridSpan w:val="2"/>
            <w:tcBorders>
              <w:top w:val="single" w:color="auto" w:sz="4" w:space="0"/>
              <w:left w:val="single" w:color="auto" w:sz="4" w:space="0"/>
              <w:bottom w:val="single" w:color="auto" w:sz="4" w:space="0"/>
              <w:right w:val="single" w:color="auto" w:sz="4" w:space="0"/>
            </w:tcBorders>
            <w:noWrap w:val="0"/>
            <w:vAlign w:val="center"/>
          </w:tcPr>
          <w:p w14:paraId="4A5AFBBC">
            <w:pPr>
              <w:keepLines w:val="0"/>
              <w:widowControl w:val="0"/>
              <w:suppressLineNumbers w:val="0"/>
              <w:kinsoku/>
              <w:wordWrap/>
              <w:overflowPunct/>
              <w:topLinePunct w:val="0"/>
              <w:autoSpaceDE/>
              <w:autoSpaceDN/>
              <w:adjustRightInd w:val="0"/>
              <w:snapToGrid w:val="0"/>
              <w:spacing w:after="0" w:afterAutospacing="0" w:line="590" w:lineRule="exact"/>
              <w:ind w:left="0" w:right="0" w:firstLine="540" w:firstLineChars="30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c>
          <w:tcPr>
            <w:tcW w:w="1045" w:type="dxa"/>
            <w:tcBorders>
              <w:top w:val="single" w:color="auto" w:sz="4" w:space="0"/>
              <w:left w:val="nil"/>
              <w:bottom w:val="single" w:color="auto" w:sz="4" w:space="0"/>
              <w:right w:val="single" w:color="auto" w:sz="4" w:space="0"/>
            </w:tcBorders>
            <w:noWrap w:val="0"/>
            <w:vAlign w:val="center"/>
          </w:tcPr>
          <w:p w14:paraId="5EAEBAD8">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6"/>
                <w:szCs w:val="16"/>
                <w:lang w:bidi="ar-SA"/>
              </w:rPr>
            </w:pPr>
          </w:p>
        </w:tc>
        <w:tc>
          <w:tcPr>
            <w:tcW w:w="1045" w:type="dxa"/>
            <w:tcBorders>
              <w:top w:val="single" w:color="auto" w:sz="4" w:space="0"/>
              <w:left w:val="nil"/>
              <w:bottom w:val="single" w:color="auto" w:sz="4" w:space="0"/>
              <w:right w:val="single" w:color="auto" w:sz="4" w:space="0"/>
            </w:tcBorders>
            <w:noWrap w:val="0"/>
            <w:vAlign w:val="center"/>
          </w:tcPr>
          <w:p w14:paraId="3324380E">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71CBADAF">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074B43C0">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2F4B885D">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0D71D19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center"/>
          </w:tcPr>
          <w:p w14:paraId="01E4AAD1">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kern w:val="2"/>
                <w:sz w:val="18"/>
                <w:szCs w:val="18"/>
                <w:lang w:bidi="ar-SA"/>
              </w:rPr>
            </w:pPr>
          </w:p>
        </w:tc>
        <w:tc>
          <w:tcPr>
            <w:tcW w:w="1045" w:type="dxa"/>
            <w:tcBorders>
              <w:top w:val="single" w:color="auto" w:sz="4" w:space="0"/>
              <w:left w:val="nil"/>
              <w:bottom w:val="single" w:color="auto" w:sz="4" w:space="0"/>
              <w:right w:val="single" w:color="auto" w:sz="4" w:space="0"/>
            </w:tcBorders>
            <w:noWrap w:val="0"/>
            <w:vAlign w:val="top"/>
          </w:tcPr>
          <w:p w14:paraId="6A25397B">
            <w:pPr>
              <w:keepLines w:val="0"/>
              <w:widowControl w:val="0"/>
              <w:suppressLineNumbers w:val="0"/>
              <w:kinsoku/>
              <w:wordWrap/>
              <w:overflowPunct/>
              <w:topLinePunct w:val="0"/>
              <w:autoSpaceDE/>
              <w:autoSpaceDN/>
              <w:adjustRightInd w:val="0"/>
              <w:snapToGrid w:val="0"/>
              <w:spacing w:after="0" w:afterAutospacing="0" w:line="590" w:lineRule="exact"/>
              <w:ind w:left="0" w:right="0"/>
              <w:jc w:val="both"/>
              <w:rPr>
                <w:rFonts w:hint="eastAsia" w:ascii="方正仿宋_GBK" w:eastAsia="方正仿宋_GBK" w:cs="方正仿宋_GBK"/>
                <w:b/>
                <w:bCs/>
                <w:kern w:val="2"/>
                <w:sz w:val="18"/>
                <w:szCs w:val="18"/>
                <w:lang w:bidi="ar-SA"/>
              </w:rPr>
            </w:pPr>
            <w:r>
              <w:rPr>
                <w:rFonts w:hint="eastAsia" w:ascii="方正仿宋_GBK" w:eastAsia="方正仿宋_GBK" w:cs="方正仿宋_GBK"/>
                <w:b/>
                <w:bCs/>
                <w:kern w:val="2"/>
                <w:sz w:val="18"/>
                <w:szCs w:val="18"/>
                <w:lang w:bidi="ar-SA"/>
              </w:rPr>
              <w:t>…</w:t>
            </w:r>
          </w:p>
        </w:tc>
      </w:tr>
    </w:tbl>
    <w:p w14:paraId="6170D6A0">
      <w:pPr>
        <w:keepNext w:val="0"/>
        <w:keepLines w:val="0"/>
        <w:pageBreakBefore w:val="0"/>
        <w:widowControl w:val="0"/>
        <w:suppressLineNumbers w:val="0"/>
        <w:suppressAutoHyphens w:val="0"/>
        <w:kinsoku/>
        <w:wordWrap/>
        <w:overflowPunct/>
        <w:topLinePunct w:val="0"/>
        <w:autoSpaceDE/>
        <w:autoSpaceDN/>
        <w:adjustRightInd w:val="0"/>
        <w:snapToGrid w:val="0"/>
        <w:spacing w:line="590" w:lineRule="exact"/>
        <w:ind w:left="0"/>
        <w:jc w:val="both"/>
        <w:rPr>
          <w:rFonts w:hint="default" w:ascii="Times New Roman" w:hAnsi="Times New Roman" w:eastAsia="仿宋"/>
          <w:kern w:val="2"/>
          <w:sz w:val="32"/>
          <w:szCs w:val="32"/>
        </w:rPr>
      </w:pPr>
    </w:p>
    <w:p w14:paraId="2E320E42">
      <w:pPr>
        <w:keepNext w:val="0"/>
        <w:keepLines w:val="0"/>
        <w:pageBreakBefore w:val="0"/>
        <w:widowControl/>
        <w:suppressLineNumbers w:val="0"/>
        <w:suppressAutoHyphens w:val="0"/>
        <w:kinsoku/>
        <w:wordWrap/>
        <w:overflowPunct/>
        <w:topLinePunct w:val="0"/>
        <w:autoSpaceDE/>
        <w:autoSpaceDN/>
        <w:adjustRightInd w:val="0"/>
        <w:snapToGrid w:val="0"/>
        <w:spacing w:line="590" w:lineRule="exact"/>
        <w:ind w:left="0"/>
        <w:jc w:val="both"/>
        <w:rPr>
          <w:rFonts w:hint="eastAsia" w:ascii="方正仿宋_GBK" w:eastAsia="方正仿宋_GBK" w:cs="方正仿宋_GBK"/>
          <w:kern w:val="2"/>
          <w:sz w:val="21"/>
          <w:szCs w:val="21"/>
          <w:lang w:bidi="ar-SA"/>
        </w:rPr>
      </w:pPr>
      <w:r>
        <w:rPr>
          <w:rFonts w:hint="eastAsia" w:ascii="方正仿宋_GBK" w:eastAsia="方正仿宋_GBK" w:cs="方正仿宋_GBK"/>
          <w:kern w:val="2"/>
          <w:sz w:val="21"/>
          <w:szCs w:val="21"/>
          <w:lang w:bidi="ar-SA"/>
        </w:rPr>
        <w:t>注：  1.n=*根据实际考察至该时间点的变更前已进行稳定性考察的产品批次数量填写。</w:t>
      </w:r>
    </w:p>
    <w:p w14:paraId="1C65DE8F">
      <w:pPr>
        <w:keepNext w:val="0"/>
        <w:keepLines w:val="0"/>
        <w:pageBreakBefore w:val="0"/>
        <w:widowControl/>
        <w:suppressLineNumbers w:val="0"/>
        <w:suppressAutoHyphens w:val="0"/>
        <w:kinsoku/>
        <w:wordWrap/>
        <w:overflowPunct/>
        <w:topLinePunct w:val="0"/>
        <w:autoSpaceDE/>
        <w:autoSpaceDN/>
        <w:adjustRightInd w:val="0"/>
        <w:snapToGrid w:val="0"/>
        <w:spacing w:line="590" w:lineRule="exact"/>
        <w:ind w:left="0" w:firstLine="630" w:firstLineChars="300"/>
        <w:jc w:val="both"/>
        <w:rPr>
          <w:rFonts w:hint="eastAsia" w:ascii="方正仿宋_GBK" w:eastAsia="方正仿宋_GBK" w:cs="方正仿宋_GBK"/>
          <w:kern w:val="2"/>
          <w:sz w:val="21"/>
          <w:szCs w:val="21"/>
          <w:lang w:bidi="ar-SA"/>
        </w:rPr>
      </w:pPr>
      <w:r>
        <w:rPr>
          <w:rFonts w:hint="eastAsia" w:ascii="方正仿宋_GBK" w:eastAsia="方正仿宋_GBK" w:cs="方正仿宋_GBK"/>
          <w:kern w:val="2"/>
          <w:sz w:val="21"/>
          <w:szCs w:val="21"/>
          <w:lang w:bidi="ar-SA"/>
        </w:rPr>
        <w:t>2.考察结果应填写变更前已进行稳定性考察的所有批次的检测结果最大、最小值范围。</w:t>
      </w:r>
    </w:p>
    <w:p w14:paraId="50E8A43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兰亭黑_GBK">
    <w:altName w:val="微软雅黑"/>
    <w:panose1 w:val="02000000000000000000"/>
    <w:charset w:val="86"/>
    <w:family w:val="script"/>
    <w:pitch w:val="default"/>
    <w:sig w:usb0="00000000" w:usb1="00000000" w:usb2="00080016" w:usb3="00000000" w:csb0="00040001"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0651DD">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DE423F">
                          <w:pPr>
                            <w:pStyle w:val="4"/>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hint="eastAsia" w:ascii="方正仿宋_GBK" w:eastAsia="方正仿宋_GBK" w:cs="方正仿宋_GBK"/>
                              <w:sz w:val="28"/>
                              <w:szCs w:val="28"/>
                            </w:rPr>
                            <w:t>1</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r>
                            <w:rPr>
                              <w:rFonts w:hint="eastAsia" w:ascii="方正仿宋_GBK" w:hAnsi="方正仿宋_GBK" w:cs="方正仿宋_GBK"/>
                              <w:sz w:val="28"/>
                              <w:szCs w:val="28"/>
                              <w:lang w:bidi="ar-S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path/>
              <v:fill on="f" focussize="0,0"/>
              <v:stroke on="f"/>
              <v:imagedata o:title=""/>
              <o:lock v:ext="edit" aspectratio="f"/>
              <v:textbox inset="0mm,0mm,0mm,0mm" style="mso-fit-shape-to-text:t;">
                <w:txbxContent>
                  <w:p w14:paraId="5EDE423F">
                    <w:pPr>
                      <w:pStyle w:val="4"/>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hint="eastAsia" w:ascii="方正仿宋_GBK" w:eastAsia="方正仿宋_GBK" w:cs="方正仿宋_GBK"/>
                        <w:sz w:val="28"/>
                        <w:szCs w:val="28"/>
                      </w:rPr>
                      <w:t>1</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r>
                      <w:rPr>
                        <w:rFonts w:hint="eastAsia" w:ascii="方正仿宋_GBK" w:hAnsi="方正仿宋_GBK" w:cs="方正仿宋_GBK"/>
                        <w:sz w:val="28"/>
                        <w:szCs w:val="28"/>
                        <w:lang w:bidi="ar-SA"/>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300789F"/>
    <w:multiLevelType w:val="multilevel"/>
    <w:tmpl w:val="3300789F"/>
    <w:lvl w:ilvl="0" w:tentative="0">
      <w:start w:val="1"/>
      <w:numFmt w:val="bullet"/>
      <w:lvlText w:val="□"/>
      <w:lvlJc w:val="left"/>
      <w:pPr>
        <w:tabs>
          <w:tab w:val="left" w:pos="0"/>
        </w:tabs>
        <w:ind w:left="420" w:hanging="420"/>
      </w:pPr>
      <w:rPr>
        <w:rFonts w:hint="eastAsia" w:ascii="仿宋" w:hAnsi="仿宋" w:eastAsia="仿宋"/>
      </w:rPr>
    </w:lvl>
    <w:lvl w:ilvl="1" w:tentative="0">
      <w:start w:val="1"/>
      <w:numFmt w:val="bullet"/>
      <w:lvlRestart w:val="0"/>
      <w:lvlText w:val="□"/>
      <w:lvlJc w:val="left"/>
      <w:pPr>
        <w:tabs>
          <w:tab w:val="left" w:pos="0"/>
        </w:tabs>
        <w:ind w:left="420" w:hanging="420"/>
      </w:pPr>
      <w:rPr>
        <w:rFonts w:hint="eastAsia" w:ascii="仿宋" w:hAnsi="仿宋" w:eastAsia="仿宋"/>
      </w:rPr>
    </w:lvl>
    <w:lvl w:ilvl="2" w:tentative="0">
      <w:start w:val="1"/>
      <w:numFmt w:val="bullet"/>
      <w:lvlRestart w:val="0"/>
      <w:lvlText w:val="□"/>
      <w:lvlJc w:val="left"/>
      <w:pPr>
        <w:tabs>
          <w:tab w:val="left" w:pos="0"/>
        </w:tabs>
        <w:ind w:left="420" w:hanging="420"/>
      </w:pPr>
      <w:rPr>
        <w:rFonts w:hint="eastAsia" w:ascii="仿宋" w:hAnsi="仿宋" w:eastAsia="仿宋"/>
      </w:rPr>
    </w:lvl>
    <w:lvl w:ilvl="3" w:tentative="0">
      <w:start w:val="1"/>
      <w:numFmt w:val="bullet"/>
      <w:lvlRestart w:val="0"/>
      <w:lvlText w:val="□"/>
      <w:lvlJc w:val="left"/>
      <w:pPr>
        <w:tabs>
          <w:tab w:val="left" w:pos="0"/>
        </w:tabs>
        <w:ind w:left="420" w:hanging="420"/>
      </w:pPr>
      <w:rPr>
        <w:rFonts w:hint="eastAsia" w:ascii="仿宋" w:hAnsi="仿宋" w:eastAsia="仿宋"/>
      </w:rPr>
    </w:lvl>
    <w:lvl w:ilvl="4" w:tentative="0">
      <w:start w:val="1"/>
      <w:numFmt w:val="bullet"/>
      <w:lvlRestart w:val="0"/>
      <w:lvlText w:val="□"/>
      <w:lvlJc w:val="left"/>
      <w:pPr>
        <w:tabs>
          <w:tab w:val="left" w:pos="0"/>
        </w:tabs>
        <w:ind w:left="420" w:hanging="420"/>
      </w:pPr>
      <w:rPr>
        <w:rFonts w:hint="eastAsia" w:ascii="仿宋" w:hAnsi="仿宋" w:eastAsia="仿宋"/>
      </w:rPr>
    </w:lvl>
    <w:lvl w:ilvl="5" w:tentative="0">
      <w:start w:val="1"/>
      <w:numFmt w:val="bullet"/>
      <w:lvlRestart w:val="0"/>
      <w:lvlText w:val="□"/>
      <w:lvlJc w:val="left"/>
      <w:pPr>
        <w:tabs>
          <w:tab w:val="left" w:pos="0"/>
        </w:tabs>
        <w:ind w:left="420" w:hanging="420"/>
      </w:pPr>
      <w:rPr>
        <w:rFonts w:hint="eastAsia" w:ascii="仿宋" w:hAnsi="仿宋" w:eastAsia="仿宋"/>
      </w:rPr>
    </w:lvl>
    <w:lvl w:ilvl="6" w:tentative="0">
      <w:start w:val="1"/>
      <w:numFmt w:val="bullet"/>
      <w:lvlRestart w:val="0"/>
      <w:lvlText w:val="□"/>
      <w:lvlJc w:val="left"/>
      <w:pPr>
        <w:tabs>
          <w:tab w:val="left" w:pos="0"/>
        </w:tabs>
        <w:ind w:left="420" w:hanging="420"/>
      </w:pPr>
      <w:rPr>
        <w:rFonts w:hint="eastAsia" w:ascii="仿宋" w:hAnsi="仿宋" w:eastAsia="仿宋"/>
      </w:rPr>
    </w:lvl>
    <w:lvl w:ilvl="7" w:tentative="0">
      <w:start w:val="1"/>
      <w:numFmt w:val="bullet"/>
      <w:lvlRestart w:val="0"/>
      <w:lvlText w:val="□"/>
      <w:lvlJc w:val="left"/>
      <w:pPr>
        <w:tabs>
          <w:tab w:val="left" w:pos="0"/>
        </w:tabs>
        <w:ind w:left="420" w:hanging="420"/>
      </w:pPr>
      <w:rPr>
        <w:rFonts w:hint="eastAsia" w:ascii="仿宋" w:hAnsi="仿宋" w:eastAsia="仿宋"/>
      </w:rPr>
    </w:lvl>
    <w:lvl w:ilvl="8" w:tentative="0">
      <w:start w:val="1"/>
      <w:numFmt w:val="bullet"/>
      <w:lvlRestart w:val="0"/>
      <w:lvlText w:val="□"/>
      <w:lvlJc w:val="left"/>
      <w:pPr>
        <w:tabs>
          <w:tab w:val="left" w:pos="0"/>
        </w:tabs>
        <w:ind w:left="420" w:hanging="420"/>
      </w:pPr>
      <w:rPr>
        <w:rFonts w:hint="eastAsia" w:ascii="仿宋" w:hAnsi="仿宋" w:eastAsia="仿宋"/>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ZhOTk3NzA4NzU0NTkyNzc4NWRhZDAzZWFiNzgyZmIifQ=="/>
  </w:docVars>
  <w:rsids>
    <w:rsidRoot w:val="4EB145BC"/>
    <w:rsid w:val="4EB145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qFormat="1"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2">
    <w:name w:val="table of authorities"/>
    <w:basedOn w:val="1"/>
    <w:next w:val="1"/>
    <w:qFormat/>
    <w:uiPriority w:val="0"/>
    <w:pPr>
      <w:ind w:left="200" w:leftChars="200"/>
    </w:pPr>
  </w:style>
  <w:style w:type="paragraph" w:styleId="3">
    <w:name w:val="toc 3"/>
    <w:basedOn w:val="1"/>
    <w:next w:val="1"/>
    <w:qFormat/>
    <w:uiPriority w:val="0"/>
    <w:pPr>
      <w:ind w:left="840"/>
    </w:p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next w:val="3"/>
    <w:qFormat/>
    <w:uiPriority w:val="0"/>
    <w:pPr>
      <w:keepNext w:val="0"/>
      <w:keepLines w:val="0"/>
      <w:pageBreakBefore w:val="0"/>
      <w:widowControl/>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00" w:afterAutospacing="1" w:line="240" w:lineRule="auto"/>
      <w:ind w:left="0" w:right="0" w:firstLine="0"/>
      <w:jc w:val="left"/>
      <w:textAlignment w:val="auto"/>
      <w:outlineLvl w:val="9"/>
    </w:pPr>
    <w:rPr>
      <w:rFonts w:ascii="宋体" w:eastAsia="宋体"/>
      <w:snapToGrid/>
      <w:color w:val="auto"/>
      <w:spacing w:val="0"/>
      <w:w w:val="100"/>
      <w:kern w:val="0"/>
      <w:position w:val="0"/>
      <w:sz w:val="24"/>
      <w:szCs w:val="24"/>
      <w:u w:val="none" w:color="auto"/>
      <w:vertAlign w:val="baseline"/>
      <w:lang w:val="en-US" w:eastAsia="zh-CN"/>
    </w:rPr>
  </w:style>
  <w:style w:type="paragraph" w:styleId="6">
    <w:name w:val="Body Text First Indent 2"/>
    <w:basedOn w:val="1"/>
    <w:next w:val="7"/>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100" w:beforeAutospacing="1" w:after="120" w:afterAutospacing="0" w:line="240" w:lineRule="auto"/>
      <w:ind w:left="200" w:leftChars="200" w:right="0" w:firstLine="200" w:firstLineChars="200"/>
      <w:jc w:val="both"/>
      <w:textAlignment w:val="auto"/>
      <w:outlineLvl w:val="9"/>
    </w:pPr>
    <w:rPr>
      <w:rFonts w:ascii="仿宋" w:eastAsia="仿宋" w:cs="Times New Roman"/>
      <w:snapToGrid/>
      <w:color w:val="auto"/>
      <w:spacing w:val="0"/>
      <w:w w:val="100"/>
      <w:kern w:val="0"/>
      <w:position w:val="0"/>
      <w:sz w:val="28"/>
      <w:szCs w:val="28"/>
      <w:u w:val="none" w:color="auto"/>
      <w:vertAlign w:val="baseline"/>
      <w:lang w:val="en-US" w:eastAsia="zh-CN" w:bidi="ar-SA"/>
    </w:rPr>
  </w:style>
  <w:style w:type="paragraph" w:customStyle="1" w:styleId="7">
    <w:name w:val="List Paragraph"/>
    <w:basedOn w:val="1"/>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0" w:beforeAutospacing="0" w:after="0" w:afterAutospacing="0" w:line="240" w:lineRule="auto"/>
      <w:ind w:left="0" w:right="0" w:firstLine="200" w:firstLineChars="200"/>
      <w:jc w:val="both"/>
      <w:textAlignment w:val="auto"/>
      <w:outlineLvl w:val="9"/>
    </w:pPr>
    <w:rPr>
      <w:rFonts w:ascii="Times New Roman" w:hAnsi="Times New Roman" w:eastAsia="宋体"/>
      <w:snapToGrid/>
      <w:color w:val="auto"/>
      <w:spacing w:val="0"/>
      <w:w w:val="100"/>
      <w:kern w:val="2"/>
      <w:position w:val="0"/>
      <w:sz w:val="21"/>
      <w:szCs w:val="21"/>
      <w:u w:val="none" w:color="auto"/>
      <w:vertAlign w:val="baseline"/>
      <w:lang w:val="en-US" w:eastAsia="zh-CN"/>
    </w:rPr>
  </w:style>
  <w:style w:type="character" w:customStyle="1" w:styleId="10">
    <w:name w:val="16"/>
    <w:qFormat/>
    <w:uiPriority w:val="0"/>
    <w:rPr>
      <w:rFonts w:ascii="Times New Roman" w:hAnsi="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2024-11-07T02:38:00Z</dcterms:created>
  <dc:creator>相裕连</dc:creator>
  <cp:lastModifiedBy>相裕连</cp:lastModifiedBy>
  <dcterms:modified xsi:type="dcterms:W3CDTF">2024-11-07T02:40:29Z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399DDDACE21546C8981D4D4E284E6086_11</vt:lpwstr>
  </property>
</Properties>
</file>