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773437">
      <w:pPr>
        <w:adjustRightInd w:val="0"/>
        <w:snapToGrid w:val="0"/>
        <w:spacing w:line="590" w:lineRule="exact"/>
        <w:jc w:val="both"/>
        <w:rPr>
          <w:rFonts w:hint="eastAsia" w:ascii="方正小标宋_GBK" w:eastAsia="方正小标宋_GBK"/>
          <w:sz w:val="44"/>
          <w:szCs w:val="44"/>
        </w:rPr>
      </w:pPr>
      <w:bookmarkStart w:id="13" w:name="_GoBack"/>
    </w:p>
    <w:p w14:paraId="0EE2A54D">
      <w:pPr>
        <w:adjustRightInd w:val="0"/>
        <w:snapToGrid w:val="0"/>
        <w:spacing w:line="590" w:lineRule="exact"/>
        <w:jc w:val="both"/>
        <w:rPr>
          <w:rFonts w:hint="eastAsia" w:ascii="方正小标宋_GBK" w:eastAsia="方正小标宋_GBK"/>
          <w:sz w:val="44"/>
          <w:szCs w:val="44"/>
        </w:rPr>
      </w:pPr>
      <w:r>
        <w:rPr>
          <w:rFonts w:hint="eastAsia" w:ascii="方正小标宋_GBK" w:eastAsia="方正小标宋_GBK"/>
          <w:sz w:val="44"/>
          <w:szCs w:val="44"/>
        </w:rPr>
        <w:t>江苏省中药饮片不符合药品标准，尚不影响</w:t>
      </w:r>
    </w:p>
    <w:p w14:paraId="623B62AC">
      <w:pPr>
        <w:adjustRightInd w:val="0"/>
        <w:snapToGrid w:val="0"/>
        <w:spacing w:line="590" w:lineRule="exact"/>
        <w:jc w:val="center"/>
        <w:rPr>
          <w:rFonts w:hint="eastAsia" w:ascii="方正小标宋_GBK" w:eastAsia="方正小标宋_GBK"/>
          <w:sz w:val="44"/>
          <w:szCs w:val="44"/>
        </w:rPr>
      </w:pPr>
      <w:r>
        <w:rPr>
          <w:rFonts w:hint="eastAsia" w:ascii="方正小标宋_GBK" w:eastAsia="方正小标宋_GBK"/>
          <w:sz w:val="44"/>
          <w:szCs w:val="44"/>
        </w:rPr>
        <w:t>安全性、有效性的认定指导意见</w:t>
      </w:r>
    </w:p>
    <w:bookmarkEnd w:id="13"/>
    <w:p w14:paraId="0D3D2281">
      <w:pPr>
        <w:adjustRightInd w:val="0"/>
        <w:snapToGrid w:val="0"/>
        <w:spacing w:line="590" w:lineRule="exact"/>
        <w:jc w:val="center"/>
        <w:rPr>
          <w:rFonts w:ascii="仿宋" w:hAnsi="仿宋" w:cs="仿宋"/>
          <w:lang w:bidi="ar-SA"/>
        </w:rPr>
      </w:pPr>
    </w:p>
    <w:p w14:paraId="5D4FD64A">
      <w:pPr>
        <w:adjustRightInd w:val="0"/>
        <w:snapToGrid w:val="0"/>
        <w:spacing w:line="590" w:lineRule="exact"/>
        <w:ind w:firstLine="640" w:firstLineChars="200"/>
        <w:rPr>
          <w:rFonts w:hint="eastAsia" w:ascii="方正仿宋_GBK" w:eastAsia="方正仿宋_GBK" w:cs="仿宋"/>
          <w:bCs/>
          <w:sz w:val="32"/>
          <w:szCs w:val="32"/>
          <w:lang w:bidi="ar-SA"/>
        </w:rPr>
      </w:pPr>
      <w:r>
        <w:rPr>
          <w:rFonts w:hint="eastAsia" w:ascii="方正仿宋_GBK" w:eastAsia="方正仿宋_GBK" w:cs="仿宋"/>
          <w:b/>
          <w:bCs/>
          <w:sz w:val="32"/>
          <w:szCs w:val="32"/>
          <w:lang w:bidi="ar-SA"/>
        </w:rPr>
        <w:t>第一条</w:t>
      </w:r>
      <w:r>
        <w:rPr>
          <w:rFonts w:hint="eastAsia" w:ascii="方正仿宋_GBK" w:eastAsia="方正仿宋_GBK" w:cs="仿宋"/>
          <w:bCs/>
          <w:sz w:val="32"/>
          <w:szCs w:val="32"/>
          <w:lang w:bidi="ar-SA"/>
        </w:rPr>
        <w:t xml:space="preserve">  为进一步规范我省不符合药品标准的中药饮片案件办理，统一行政处罚裁量标准，保障公民、法人和其他组织的合法权益，根据《中华人民共和国行政处罚法》《中华人民共和国药品管理法》等相关法律法规规定，制定本意见。</w:t>
      </w:r>
    </w:p>
    <w:p w14:paraId="568D7CD0">
      <w:pPr>
        <w:adjustRightInd w:val="0"/>
        <w:snapToGrid w:val="0"/>
        <w:spacing w:line="590" w:lineRule="exact"/>
        <w:ind w:firstLine="640" w:firstLineChars="200"/>
        <w:rPr>
          <w:rFonts w:hint="eastAsia" w:ascii="方正仿宋_GBK" w:eastAsia="方正仿宋_GBK" w:cs="仿宋"/>
          <w:bCs/>
          <w:sz w:val="32"/>
          <w:szCs w:val="32"/>
          <w:lang w:bidi="ar-SA"/>
        </w:rPr>
      </w:pPr>
      <w:r>
        <w:rPr>
          <w:rFonts w:hint="eastAsia" w:ascii="方正仿宋_GBK" w:eastAsia="方正仿宋_GBK" w:cs="仿宋"/>
          <w:b/>
          <w:bCs/>
          <w:sz w:val="32"/>
          <w:szCs w:val="32"/>
          <w:lang w:bidi="ar-SA"/>
        </w:rPr>
        <w:t>第二条</w:t>
      </w:r>
      <w:r>
        <w:rPr>
          <w:rFonts w:hint="eastAsia" w:ascii="方正仿宋_GBK" w:eastAsia="方正仿宋_GBK" w:cs="仿宋"/>
          <w:bCs/>
          <w:sz w:val="32"/>
          <w:szCs w:val="32"/>
          <w:lang w:bidi="ar-SA"/>
        </w:rPr>
        <w:t xml:space="preserve">  本意见所称“中药饮片不符合药品标准，尚不影响安全性、有效性”的范围是指《中华人民共和国药品管理法》第九十八条第三款第七项规定的“其他不符合药品标准的药品”，不包括该款第一项至第六项。</w:t>
      </w:r>
    </w:p>
    <w:p w14:paraId="5F46185C">
      <w:pPr>
        <w:adjustRightInd w:val="0"/>
        <w:snapToGrid w:val="0"/>
        <w:spacing w:line="590" w:lineRule="exact"/>
        <w:ind w:firstLine="640" w:firstLineChars="200"/>
        <w:rPr>
          <w:rFonts w:hint="eastAsia" w:ascii="方正仿宋_GBK" w:eastAsia="方正仿宋_GBK" w:cs="仿宋"/>
          <w:bCs/>
          <w:sz w:val="32"/>
          <w:szCs w:val="32"/>
          <w:lang w:bidi="ar-SA"/>
        </w:rPr>
      </w:pPr>
      <w:r>
        <w:rPr>
          <w:rFonts w:hint="eastAsia" w:ascii="方正仿宋_GBK" w:eastAsia="方正仿宋_GBK" w:cs="仿宋"/>
          <w:bCs/>
          <w:sz w:val="32"/>
          <w:szCs w:val="32"/>
          <w:lang w:bidi="ar-SA"/>
        </w:rPr>
        <w:t>本意见仅作为药品监督管理部门对不符合药品标准的中药饮片是否“尚不影响安全性、有效性”的认定，不改变其不符合药品标准的结论。</w:t>
      </w:r>
    </w:p>
    <w:p w14:paraId="06655D37">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第三条</w:t>
      </w:r>
      <w:r>
        <w:rPr>
          <w:rFonts w:hint="eastAsia" w:ascii="方正仿宋_GBK" w:eastAsia="方正仿宋_GBK" w:cs="仿宋"/>
          <w:bCs/>
          <w:sz w:val="32"/>
          <w:szCs w:val="32"/>
          <w:lang w:bidi="ar-SA"/>
        </w:rPr>
        <w:t xml:space="preserve">  在品种基原和药用</w:t>
      </w:r>
      <w:r>
        <w:rPr>
          <w:rFonts w:hint="eastAsia" w:ascii="方正仿宋_GBK" w:eastAsia="方正仿宋_GBK" w:cs="仿宋"/>
          <w:sz w:val="32"/>
          <w:szCs w:val="32"/>
          <w:lang w:bidi="ar-SA"/>
        </w:rPr>
        <w:t>部位正确的情况下，中药饮片的性状项目不符合标准规定，但符合</w:t>
      </w:r>
      <w:bookmarkStart w:id="0" w:name="OLE_LINK3"/>
      <w:r>
        <w:rPr>
          <w:rFonts w:hint="eastAsia" w:ascii="方正仿宋_GBK" w:eastAsia="方正仿宋_GBK" w:cs="仿宋"/>
          <w:sz w:val="32"/>
          <w:szCs w:val="32"/>
          <w:lang w:bidi="ar-SA"/>
        </w:rPr>
        <w:t>以下情形之一的，可以认定为尚不影响中药饮片的安全性、有效性：</w:t>
      </w:r>
    </w:p>
    <w:bookmarkEnd w:id="0"/>
    <w:p w14:paraId="4D1DEE23">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（一）中药饮片的形状，切制规格、长短、厚薄等不符合标准规定但不超过标准值30%的；</w:t>
      </w:r>
    </w:p>
    <w:p w14:paraId="4EC0EEBA">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（二）省内有特色炮制规格或临床有使用传统的；</w:t>
      </w:r>
    </w:p>
    <w:p w14:paraId="48758E55">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（三）色泽不符合标准规定而未超出标准规定色系的。</w:t>
      </w:r>
    </w:p>
    <w:p w14:paraId="3B8E5348">
      <w:pPr>
        <w:adjustRightInd w:val="0"/>
        <w:snapToGrid w:val="0"/>
        <w:spacing w:line="590" w:lineRule="exact"/>
        <w:ind w:firstLine="640" w:firstLineChars="200"/>
        <w:rPr>
          <w:rFonts w:hint="eastAsia" w:ascii="方正仿宋_GBK" w:eastAsia="方正仿宋_GBK" w:cs="仿宋"/>
          <w:sz w:val="32"/>
          <w:szCs w:val="32"/>
          <w:lang w:bidi="ar-SA"/>
        </w:rPr>
      </w:pPr>
      <w:bookmarkStart w:id="1" w:name="_Hlk63603566"/>
      <w:r>
        <w:rPr>
          <w:rFonts w:hint="eastAsia" w:ascii="方正仿宋_GBK" w:eastAsia="方正仿宋_GBK" w:cs="仿宋"/>
          <w:b/>
          <w:bCs/>
          <w:sz w:val="32"/>
          <w:szCs w:val="32"/>
          <w:lang w:bidi="ar-SA"/>
        </w:rPr>
        <w:t>第四条</w:t>
      </w:r>
      <w:bookmarkEnd w:id="1"/>
      <w:bookmarkStart w:id="2" w:name="OLE_LINK19"/>
      <w:r>
        <w:rPr>
          <w:rFonts w:hint="eastAsia" w:ascii="方正仿宋_GBK" w:eastAsia="方正仿宋_GBK" w:cs="仿宋"/>
          <w:sz w:val="32"/>
          <w:szCs w:val="32"/>
          <w:lang w:bidi="ar-SA"/>
        </w:rPr>
        <w:t xml:space="preserve">  中药饮片的</w:t>
      </w:r>
      <w:bookmarkStart w:id="3" w:name="OLE_LINK16"/>
      <w:r>
        <w:rPr>
          <w:rFonts w:hint="eastAsia" w:ascii="方正仿宋_GBK" w:eastAsia="方正仿宋_GBK" w:cs="仿宋"/>
          <w:sz w:val="32"/>
          <w:szCs w:val="32"/>
          <w:lang w:bidi="ar-SA"/>
        </w:rPr>
        <w:t>水分或干燥失重</w:t>
      </w:r>
      <w:bookmarkEnd w:id="3"/>
      <w:r>
        <w:rPr>
          <w:rFonts w:hint="eastAsia" w:ascii="方正仿宋_GBK" w:eastAsia="方正仿宋_GBK" w:cs="仿宋"/>
          <w:sz w:val="32"/>
          <w:szCs w:val="32"/>
          <w:lang w:bidi="ar-SA"/>
        </w:rPr>
        <w:t>检查项</w:t>
      </w:r>
      <w:bookmarkStart w:id="4" w:name="OLE_LINK15"/>
      <w:r>
        <w:rPr>
          <w:rFonts w:hint="eastAsia" w:ascii="方正仿宋_GBK" w:eastAsia="方正仿宋_GBK" w:cs="仿宋"/>
          <w:sz w:val="32"/>
          <w:szCs w:val="32"/>
          <w:lang w:bidi="ar-SA"/>
        </w:rPr>
        <w:t>不符合标准规定</w:t>
      </w:r>
      <w:bookmarkEnd w:id="4"/>
      <w:r>
        <w:rPr>
          <w:rFonts w:hint="eastAsia" w:ascii="方正仿宋_GBK" w:eastAsia="方正仿宋_GBK" w:cs="仿宋"/>
          <w:sz w:val="32"/>
          <w:szCs w:val="32"/>
          <w:lang w:bidi="ar-SA"/>
        </w:rPr>
        <w:t>，存在以下情形之一的，可以认定为尚不影响中药饮片的安全性、有效性：</w:t>
      </w:r>
    </w:p>
    <w:bookmarkEnd w:id="2"/>
    <w:p w14:paraId="4F94216E">
      <w:pPr>
        <w:shd w:val="clear" w:color="auto" w:fill="FFFFFF"/>
        <w:adjustRightInd w:val="0"/>
        <w:snapToGrid w:val="0"/>
        <w:spacing w:line="590" w:lineRule="exact"/>
        <w:ind w:firstLine="640" w:firstLineChars="200"/>
        <w:jc w:val="left"/>
        <w:rPr>
          <w:rFonts w:hint="eastAsia" w:ascii="方正仿宋_GBK" w:eastAsia="方正仿宋_GBK" w:cs="仿宋"/>
          <w:sz w:val="32"/>
          <w:szCs w:val="32"/>
          <w:lang w:bidi="ar-SA"/>
        </w:rPr>
      </w:pPr>
      <w:bookmarkStart w:id="5" w:name="OLE_LINK9"/>
      <w:bookmarkStart w:id="6" w:name="OLE_LINK4"/>
      <w:r>
        <w:rPr>
          <w:rFonts w:hint="eastAsia" w:ascii="方正仿宋_GBK" w:eastAsia="方正仿宋_GBK" w:cs="仿宋"/>
          <w:sz w:val="32"/>
          <w:szCs w:val="32"/>
          <w:lang w:bidi="ar-SA"/>
        </w:rPr>
        <w:t>（一）水分的标准规定限度值在13%以下，超出限度的百分比值在20%以内的；</w:t>
      </w:r>
    </w:p>
    <w:bookmarkEnd w:id="5"/>
    <w:p w14:paraId="29E7526E">
      <w:pPr>
        <w:shd w:val="clear" w:color="auto" w:fill="FFFFFF"/>
        <w:adjustRightInd w:val="0"/>
        <w:snapToGrid w:val="0"/>
        <w:spacing w:line="590" w:lineRule="exact"/>
        <w:ind w:firstLine="640" w:firstLineChars="200"/>
        <w:jc w:val="left"/>
        <w:rPr>
          <w:rFonts w:hint="eastAsia" w:ascii="方正仿宋_GBK" w:eastAsia="方正仿宋_GBK" w:cs="仿宋"/>
          <w:sz w:val="32"/>
          <w:szCs w:val="32"/>
          <w:lang w:bidi="ar-SA"/>
        </w:rPr>
      </w:pPr>
      <w:bookmarkStart w:id="7" w:name="OLE_LINK6"/>
      <w:r>
        <w:rPr>
          <w:rFonts w:hint="eastAsia" w:ascii="方正仿宋_GBK" w:eastAsia="方正仿宋_GBK" w:cs="仿宋"/>
          <w:sz w:val="32"/>
          <w:szCs w:val="32"/>
          <w:lang w:bidi="ar-SA"/>
        </w:rPr>
        <w:t>（二）水分的标准规定限度值在13%以上，超出限度的百分比值在30%以内的；</w:t>
      </w:r>
    </w:p>
    <w:p w14:paraId="7BF24EE6">
      <w:pPr>
        <w:shd w:val="clear" w:color="auto" w:fill="FFFFFF"/>
        <w:adjustRightInd w:val="0"/>
        <w:snapToGrid w:val="0"/>
        <w:spacing w:line="590" w:lineRule="exact"/>
        <w:ind w:firstLine="640" w:firstLineChars="200"/>
        <w:jc w:val="left"/>
        <w:rPr>
          <w:rFonts w:hint="eastAsia" w:ascii="方正仿宋_GBK" w:eastAsia="方正仿宋_GBK" w:cs="仿宋"/>
          <w:sz w:val="32"/>
          <w:szCs w:val="32"/>
          <w:lang w:bidi="ar-SA"/>
        </w:rPr>
      </w:pPr>
      <w:r>
        <w:rPr>
          <w:rFonts w:hint="eastAsia" w:ascii="方正仿宋_GBK" w:eastAsia="方正仿宋_GBK" w:cs="仿宋"/>
          <w:sz w:val="32"/>
          <w:szCs w:val="32"/>
          <w:lang w:bidi="ar-SA"/>
        </w:rPr>
        <w:t>（三）水分的标准规定限度值在13%以上，超出限度的百分比值在30%以上，按照中国药典通则2351真菌毒素测定法测定黄曲霉毒素和玉米赤霉烯酮项目，结果符合下述标准的：每1000g中药饮片黄曲霉毒素不得超过B</w:t>
      </w:r>
      <w:r>
        <w:rPr>
          <w:rFonts w:hint="eastAsia" w:ascii="方正仿宋_GBK" w:eastAsia="方正仿宋_GBK" w:cs="仿宋"/>
          <w:sz w:val="32"/>
          <w:szCs w:val="32"/>
          <w:vertAlign w:val="subscript"/>
          <w:lang w:bidi="ar-SA"/>
        </w:rPr>
        <w:t>1</w:t>
      </w:r>
      <w:r>
        <w:rPr>
          <w:rFonts w:hint="eastAsia" w:ascii="方正仿宋_GBK" w:eastAsia="方正仿宋_GBK" w:cs="仿宋"/>
          <w:sz w:val="32"/>
          <w:szCs w:val="32"/>
          <w:lang w:bidi="ar-SA"/>
        </w:rPr>
        <w:t>5μg，黄曲霉毒素G</w:t>
      </w:r>
      <w:r>
        <w:rPr>
          <w:rFonts w:hint="eastAsia" w:ascii="方正仿宋_GBK" w:eastAsia="方正仿宋_GBK" w:cs="仿宋"/>
          <w:sz w:val="32"/>
          <w:szCs w:val="32"/>
          <w:vertAlign w:val="subscript"/>
          <w:lang w:bidi="ar-SA"/>
        </w:rPr>
        <w:t>2</w:t>
      </w:r>
      <w:r>
        <w:rPr>
          <w:rFonts w:hint="eastAsia" w:ascii="方正仿宋_GBK" w:eastAsia="方正仿宋_GBK" w:cs="仿宋"/>
          <w:sz w:val="32"/>
          <w:szCs w:val="32"/>
          <w:lang w:bidi="ar-SA"/>
        </w:rPr>
        <w:t>、黄曲霉毒素G</w:t>
      </w:r>
      <w:r>
        <w:rPr>
          <w:rFonts w:hint="eastAsia" w:ascii="方正仿宋_GBK" w:eastAsia="方正仿宋_GBK" w:cs="仿宋"/>
          <w:sz w:val="32"/>
          <w:szCs w:val="32"/>
          <w:vertAlign w:val="subscript"/>
          <w:lang w:bidi="ar-SA"/>
        </w:rPr>
        <w:t>1</w:t>
      </w:r>
      <w:r>
        <w:rPr>
          <w:rFonts w:hint="eastAsia" w:ascii="方正仿宋_GBK" w:eastAsia="方正仿宋_GBK" w:cs="仿宋"/>
          <w:sz w:val="32"/>
          <w:szCs w:val="32"/>
          <w:lang w:bidi="ar-SA"/>
        </w:rPr>
        <w:t>、黄曲霉毒素B</w:t>
      </w:r>
      <w:r>
        <w:rPr>
          <w:rFonts w:hint="eastAsia" w:ascii="方正仿宋_GBK" w:eastAsia="方正仿宋_GBK" w:cs="仿宋"/>
          <w:sz w:val="32"/>
          <w:szCs w:val="32"/>
          <w:vertAlign w:val="subscript"/>
          <w:lang w:bidi="ar-SA"/>
        </w:rPr>
        <w:t>2</w:t>
      </w:r>
      <w:r>
        <w:rPr>
          <w:rFonts w:hint="eastAsia" w:ascii="方正仿宋_GBK" w:eastAsia="方正仿宋_GBK" w:cs="仿宋"/>
          <w:sz w:val="32"/>
          <w:szCs w:val="32"/>
          <w:lang w:bidi="ar-SA"/>
        </w:rPr>
        <w:t>和黄曲霉毒素B</w:t>
      </w:r>
      <w:r>
        <w:rPr>
          <w:rFonts w:hint="eastAsia" w:ascii="方正仿宋_GBK" w:eastAsia="方正仿宋_GBK" w:cs="仿宋"/>
          <w:sz w:val="32"/>
          <w:szCs w:val="32"/>
          <w:vertAlign w:val="subscript"/>
          <w:lang w:bidi="ar-SA"/>
        </w:rPr>
        <w:t>1</w:t>
      </w:r>
      <w:r>
        <w:rPr>
          <w:rFonts w:hint="eastAsia" w:ascii="方正仿宋_GBK" w:eastAsia="方正仿宋_GBK" w:cs="仿宋"/>
          <w:sz w:val="32"/>
          <w:szCs w:val="32"/>
          <w:lang w:bidi="ar-SA"/>
        </w:rPr>
        <w:t>的总量不得超过10μg，玉米赤霉烯酮不得超过500μg。</w:t>
      </w:r>
    </w:p>
    <w:bookmarkEnd w:id="6"/>
    <w:bookmarkEnd w:id="7"/>
    <w:p w14:paraId="31FD4EB5">
      <w:pPr>
        <w:adjustRightInd w:val="0"/>
        <w:snapToGrid w:val="0"/>
        <w:spacing w:line="590" w:lineRule="exact"/>
        <w:ind w:firstLine="640" w:firstLineChars="200"/>
        <w:rPr>
          <w:rFonts w:hint="eastAsia" w:ascii="方正仿宋_GBK" w:eastAsia="方正仿宋_GBK" w:cs="仿宋"/>
          <w:sz w:val="32"/>
          <w:szCs w:val="32"/>
          <w:lang w:bidi="ar-SA"/>
        </w:rPr>
      </w:pPr>
      <w:bookmarkStart w:id="8" w:name="_Hlk63603587"/>
      <w:r>
        <w:rPr>
          <w:rFonts w:hint="eastAsia" w:ascii="方正仿宋_GBK" w:eastAsia="方正仿宋_GBK" w:cs="仿宋"/>
          <w:b/>
          <w:bCs/>
          <w:sz w:val="32"/>
          <w:szCs w:val="32"/>
          <w:lang w:bidi="ar-SA"/>
        </w:rPr>
        <w:t>第五条</w:t>
      </w:r>
      <w:bookmarkEnd w:id="8"/>
      <w:bookmarkStart w:id="9" w:name="OLE_LINK23"/>
      <w:r>
        <w:rPr>
          <w:rFonts w:hint="eastAsia" w:ascii="方正仿宋_GBK" w:eastAsia="方正仿宋_GBK" w:cs="仿宋"/>
          <w:sz w:val="32"/>
          <w:szCs w:val="32"/>
          <w:lang w:bidi="ar-SA"/>
        </w:rPr>
        <w:t xml:space="preserve">  中药饮片的灰分检查项不符合标准规定，存在以下情形之一的，可以认定为尚不影响中药饮片的安全性、有效性：</w:t>
      </w:r>
    </w:p>
    <w:bookmarkEnd w:id="9"/>
    <w:p w14:paraId="23A6BC71">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（一）总灰分、酸不溶性灰分标准规定的限度值在10%以内，超出限度的百分比值在20%以内，且未出现其他影响安全性、有效性的不符合标准规定项目的；</w:t>
      </w:r>
    </w:p>
    <w:p w14:paraId="2D670BD7">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（二）总灰分、酸不溶性灰分标准规定的限度值在10%以上，超出限度的百分比值在10%以内，且未出现其他影响安全性、有效性的不符合标准规定项目的；</w:t>
      </w:r>
    </w:p>
    <w:p w14:paraId="25DA0C7F">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（三）</w:t>
      </w:r>
      <w:bookmarkStart w:id="10" w:name="_Hlk63603597"/>
      <w:r>
        <w:rPr>
          <w:rFonts w:hint="eastAsia" w:ascii="方正仿宋_GBK" w:eastAsia="方正仿宋_GBK" w:cs="仿宋"/>
          <w:sz w:val="32"/>
          <w:szCs w:val="32"/>
          <w:lang w:bidi="ar-SA"/>
        </w:rPr>
        <w:t>总灰分、酸不溶性灰分标准限度值在10%以下，超出限度的百分比值在20%～40%（含40%），或总灰分、酸不溶性灰分标准限度值在10%以上，超出限度的百分比值在10%～30%（含30%），必要时加做“重金属及有害元素”并综合判断；</w:t>
      </w:r>
    </w:p>
    <w:p w14:paraId="4CFD694E">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（四）属于动物类、树脂类、根皮类或原药材为粉末状（如海金沙、蒲黄）等杂质不易清除，且不存在人为增重因素，必要时加做“重金属及有害元素”并综合判断。</w:t>
      </w:r>
    </w:p>
    <w:p w14:paraId="14507E54">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第六条</w:t>
      </w:r>
      <w:bookmarkEnd w:id="10"/>
      <w:r>
        <w:rPr>
          <w:rFonts w:hint="eastAsia" w:ascii="方正仿宋_GBK" w:eastAsia="方正仿宋_GBK" w:cs="仿宋"/>
          <w:sz w:val="32"/>
          <w:szCs w:val="32"/>
          <w:lang w:bidi="ar-SA"/>
        </w:rPr>
        <w:t xml:space="preserve">  中药饮片的杂质检查项不符合标准规定，存在以下情形之一的，可以认定为尚不影响</w:t>
      </w:r>
      <w:bookmarkStart w:id="11" w:name="OLE_LINK25"/>
      <w:r>
        <w:rPr>
          <w:rFonts w:hint="eastAsia" w:ascii="方正仿宋_GBK" w:eastAsia="方正仿宋_GBK" w:cs="仿宋"/>
          <w:sz w:val="32"/>
          <w:szCs w:val="32"/>
          <w:lang w:bidi="ar-SA"/>
        </w:rPr>
        <w:t>中药饮片的安全性、有效性</w:t>
      </w:r>
      <w:bookmarkEnd w:id="11"/>
      <w:r>
        <w:rPr>
          <w:rFonts w:hint="eastAsia" w:ascii="方正仿宋_GBK" w:eastAsia="方正仿宋_GBK" w:cs="仿宋"/>
          <w:sz w:val="32"/>
          <w:szCs w:val="32"/>
          <w:lang w:bidi="ar-SA"/>
        </w:rPr>
        <w:t>：</w:t>
      </w:r>
    </w:p>
    <w:p w14:paraId="0AF625FD">
      <w:pPr>
        <w:adjustRightInd w:val="0"/>
        <w:snapToGrid w:val="0"/>
        <w:spacing w:line="590" w:lineRule="exact"/>
        <w:ind w:firstLine="640" w:firstLineChars="200"/>
        <w:rPr>
          <w:rFonts w:hint="eastAsia" w:ascii="方正仿宋_GBK" w:eastAsia="方正仿宋_GBK" w:cs="仿宋"/>
          <w:sz w:val="32"/>
          <w:szCs w:val="32"/>
          <w:lang w:bidi="ar-SA"/>
        </w:rPr>
      </w:pPr>
      <w:bookmarkStart w:id="12" w:name="_Hlk63603606"/>
      <w:r>
        <w:rPr>
          <w:rFonts w:hint="eastAsia" w:ascii="方正仿宋_GBK" w:eastAsia="方正仿宋_GBK" w:cs="仿宋"/>
          <w:sz w:val="32"/>
          <w:szCs w:val="32"/>
          <w:lang w:bidi="ar-SA"/>
        </w:rPr>
        <w:t>（一）药屑及杂质的标准限度值在3%以内，实际药屑含量不超过10%，实际杂质含量不超过5%；</w:t>
      </w:r>
    </w:p>
    <w:p w14:paraId="5E307140">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sz w:val="32"/>
          <w:szCs w:val="32"/>
          <w:lang w:bidi="ar-SA"/>
        </w:rPr>
        <w:t>（二）药屑及杂质标准限度值在3%-8%（含8%）的，实际药屑不超过20%，实际杂质含量不超过10%。</w:t>
      </w:r>
    </w:p>
    <w:p w14:paraId="05F375B3">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第七条</w:t>
      </w:r>
      <w:r>
        <w:rPr>
          <w:rFonts w:hint="eastAsia" w:ascii="方正仿宋_GBK" w:eastAsia="方正仿宋_GBK" w:cs="仿宋"/>
          <w:sz w:val="32"/>
          <w:szCs w:val="32"/>
          <w:lang w:bidi="ar-SA"/>
        </w:rPr>
        <w:t xml:space="preserve">  上述规定中超出限度的百分比值计算方法为：（报告实际值-标准规定限度值）/标准规定限度值×100%</w:t>
      </w:r>
      <w:bookmarkEnd w:id="12"/>
      <w:r>
        <w:rPr>
          <w:rFonts w:hint="eastAsia" w:ascii="方正仿宋_GBK" w:eastAsia="方正仿宋_GBK" w:cs="仿宋"/>
          <w:sz w:val="32"/>
          <w:szCs w:val="32"/>
          <w:lang w:bidi="ar-SA"/>
        </w:rPr>
        <w:t>。</w:t>
      </w:r>
    </w:p>
    <w:p w14:paraId="19D5CD66">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第八条</w:t>
      </w:r>
      <w:r>
        <w:rPr>
          <w:rFonts w:hint="eastAsia" w:ascii="方正仿宋_GBK" w:eastAsia="方正仿宋_GBK" w:cs="仿宋"/>
          <w:sz w:val="32"/>
          <w:szCs w:val="32"/>
          <w:lang w:bidi="ar-SA"/>
        </w:rPr>
        <w:t xml:space="preserve">  各级药品监督管理部门在案件查处工作中，应当依据本意见并结合不符合药品标准规定的具体情形和查明的相关违法事实，对是否影响“安全性、有效性”作出综合判断。</w:t>
      </w:r>
    </w:p>
    <w:p w14:paraId="0C407168">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第九条</w:t>
      </w:r>
      <w:r>
        <w:rPr>
          <w:rFonts w:hint="eastAsia" w:ascii="方正仿宋_GBK" w:eastAsia="方正仿宋_GBK" w:cs="仿宋"/>
          <w:sz w:val="32"/>
          <w:szCs w:val="32"/>
          <w:lang w:bidi="ar-SA"/>
        </w:rPr>
        <w:t xml:space="preserve">  特殊品种依据本意见仍难以认定的，或当事人对认定结果有异议情形的，药品监督管理部门可以组织有关专家研讨并提出判定技术意见。</w:t>
      </w:r>
    </w:p>
    <w:p w14:paraId="2491AD27">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第十条</w:t>
      </w:r>
      <w:r>
        <w:rPr>
          <w:rFonts w:hint="eastAsia" w:ascii="方正仿宋_GBK" w:eastAsia="方正仿宋_GBK" w:cs="仿宋"/>
          <w:sz w:val="32"/>
          <w:szCs w:val="32"/>
          <w:lang w:bidi="ar-SA"/>
        </w:rPr>
        <w:t xml:space="preserve">  法律、法规、规章或者上级规范性文件有规定的，从其规定。</w:t>
      </w:r>
    </w:p>
    <w:p w14:paraId="0835E3C8">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第十一条</w:t>
      </w:r>
      <w:r>
        <w:rPr>
          <w:rFonts w:hint="eastAsia" w:ascii="方正仿宋_GBK" w:eastAsia="方正仿宋_GBK" w:cs="仿宋"/>
          <w:sz w:val="32"/>
          <w:szCs w:val="32"/>
          <w:lang w:bidi="ar-SA"/>
        </w:rPr>
        <w:t xml:space="preserve">  </w:t>
      </w:r>
      <w:r>
        <w:rPr>
          <w:rFonts w:hint="eastAsia" w:ascii="方正仿宋_GBK" w:eastAsia="方正仿宋_GBK" w:cs="仿宋"/>
          <w:bCs/>
          <w:sz w:val="32"/>
          <w:szCs w:val="32"/>
          <w:lang w:bidi="ar-SA"/>
        </w:rPr>
        <w:t>本意见所称的“以内”“以下”包含本数，“以上”不包</w:t>
      </w:r>
      <w:r>
        <w:rPr>
          <w:rFonts w:hint="eastAsia" w:ascii="方正仿宋_GBK" w:eastAsia="方正仿宋_GBK" w:cs="仿宋"/>
          <w:sz w:val="32"/>
          <w:szCs w:val="32"/>
          <w:lang w:bidi="ar-SA"/>
        </w:rPr>
        <w:t>含本数。</w:t>
      </w:r>
    </w:p>
    <w:p w14:paraId="2E1EA155">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第十二条</w:t>
      </w:r>
      <w:r>
        <w:rPr>
          <w:rFonts w:hint="eastAsia" w:ascii="方正仿宋_GBK" w:eastAsia="方正仿宋_GBK" w:cs="仿宋"/>
          <w:sz w:val="32"/>
          <w:szCs w:val="32"/>
          <w:lang w:bidi="ar-SA"/>
        </w:rPr>
        <w:t xml:space="preserve">  本意见由江苏省药品监督管理局负责解释。</w:t>
      </w:r>
    </w:p>
    <w:p w14:paraId="4D05E184">
      <w:pPr>
        <w:adjustRightInd w:val="0"/>
        <w:snapToGrid w:val="0"/>
        <w:spacing w:line="590" w:lineRule="exact"/>
        <w:ind w:firstLine="640" w:firstLineChars="200"/>
        <w:rPr>
          <w:rFonts w:hint="eastAsia" w:ascii="方正仿宋_GBK" w:eastAsia="方正仿宋_GBK" w:cs="仿宋"/>
          <w:sz w:val="32"/>
          <w:szCs w:val="32"/>
          <w:lang w:bidi="ar-SA"/>
        </w:rPr>
      </w:pPr>
      <w:r>
        <w:rPr>
          <w:rFonts w:hint="eastAsia" w:ascii="方正仿宋_GBK" w:eastAsia="方正仿宋_GBK" w:cs="仿宋"/>
          <w:b/>
          <w:bCs/>
          <w:sz w:val="32"/>
          <w:szCs w:val="32"/>
          <w:lang w:bidi="ar-SA"/>
        </w:rPr>
        <w:t>第十三条</w:t>
      </w:r>
      <w:r>
        <w:rPr>
          <w:rFonts w:hint="eastAsia" w:ascii="方正仿宋_GBK" w:eastAsia="方正仿宋_GBK" w:cs="仿宋"/>
          <w:sz w:val="32"/>
          <w:szCs w:val="32"/>
          <w:lang w:bidi="ar-SA"/>
        </w:rPr>
        <w:t xml:space="preserve">  本意见自202</w:t>
      </w:r>
      <w:r>
        <w:rPr>
          <w:rFonts w:hint="eastAsia" w:ascii="方正仿宋_GBK" w:eastAsia="方正仿宋_GBK" w:cs="仿宋"/>
          <w:sz w:val="32"/>
          <w:szCs w:val="32"/>
          <w:lang w:val="en-US" w:eastAsia="zh-CN" w:bidi="ar-SA"/>
        </w:rPr>
        <w:t>6</w:t>
      </w:r>
      <w:r>
        <w:rPr>
          <w:rFonts w:hint="eastAsia" w:ascii="方正仿宋_GBK" w:eastAsia="方正仿宋_GBK" w:cs="仿宋"/>
          <w:sz w:val="32"/>
          <w:szCs w:val="32"/>
          <w:lang w:bidi="ar-SA"/>
        </w:rPr>
        <w:t>年</w:t>
      </w:r>
      <w:r>
        <w:rPr>
          <w:rFonts w:hint="eastAsia" w:ascii="方正仿宋_GBK" w:eastAsia="方正仿宋_GBK" w:cs="仿宋"/>
          <w:sz w:val="32"/>
          <w:szCs w:val="32"/>
          <w:lang w:val="en-US" w:eastAsia="zh-CN" w:bidi="ar-SA"/>
        </w:rPr>
        <w:t>1</w:t>
      </w:r>
      <w:r>
        <w:rPr>
          <w:rFonts w:hint="eastAsia" w:ascii="方正仿宋_GBK" w:eastAsia="方正仿宋_GBK" w:cs="仿宋"/>
          <w:sz w:val="32"/>
          <w:szCs w:val="32"/>
          <w:lang w:bidi="ar-SA"/>
        </w:rPr>
        <w:t>月</w:t>
      </w:r>
      <w:r>
        <w:rPr>
          <w:rFonts w:hint="eastAsia" w:ascii="方正仿宋_GBK" w:eastAsia="方正仿宋_GBK" w:cs="仿宋"/>
          <w:sz w:val="32"/>
          <w:szCs w:val="32"/>
          <w:lang w:val="en-US" w:eastAsia="zh-CN" w:bidi="ar-SA"/>
        </w:rPr>
        <w:t>11</w:t>
      </w:r>
      <w:r>
        <w:rPr>
          <w:rFonts w:hint="eastAsia" w:ascii="方正仿宋_GBK" w:eastAsia="方正仿宋_GBK" w:cs="仿宋"/>
          <w:sz w:val="32"/>
          <w:szCs w:val="32"/>
          <w:lang w:bidi="ar-SA"/>
        </w:rPr>
        <w:t>日起施行，有效期至203</w:t>
      </w:r>
      <w:r>
        <w:rPr>
          <w:rFonts w:hint="eastAsia" w:ascii="方正仿宋_GBK" w:eastAsia="方正仿宋_GBK" w:cs="仿宋"/>
          <w:sz w:val="32"/>
          <w:szCs w:val="32"/>
          <w:lang w:val="en-US" w:eastAsia="zh-CN" w:bidi="ar-SA"/>
        </w:rPr>
        <w:t>1</w:t>
      </w:r>
      <w:r>
        <w:rPr>
          <w:rFonts w:hint="eastAsia" w:ascii="方正仿宋_GBK" w:eastAsia="方正仿宋_GBK" w:cs="仿宋"/>
          <w:sz w:val="32"/>
          <w:szCs w:val="32"/>
          <w:lang w:bidi="ar-SA"/>
        </w:rPr>
        <w:t>年</w:t>
      </w:r>
      <w:r>
        <w:rPr>
          <w:rFonts w:hint="eastAsia" w:ascii="方正仿宋_GBK" w:eastAsia="方正仿宋_GBK" w:cs="仿宋"/>
          <w:sz w:val="32"/>
          <w:szCs w:val="32"/>
          <w:lang w:val="en-US" w:eastAsia="zh-CN" w:bidi="ar-SA"/>
        </w:rPr>
        <w:t>1</w:t>
      </w:r>
      <w:r>
        <w:rPr>
          <w:rFonts w:hint="eastAsia" w:ascii="方正仿宋_GBK" w:eastAsia="方正仿宋_GBK" w:cs="仿宋"/>
          <w:sz w:val="32"/>
          <w:szCs w:val="32"/>
          <w:lang w:bidi="ar-SA"/>
        </w:rPr>
        <w:t>月</w:t>
      </w:r>
      <w:r>
        <w:rPr>
          <w:rFonts w:hint="eastAsia" w:ascii="方正仿宋_GBK" w:eastAsia="方正仿宋_GBK" w:cs="仿宋"/>
          <w:sz w:val="32"/>
          <w:szCs w:val="32"/>
          <w:lang w:val="en-US" w:eastAsia="zh-CN" w:bidi="ar-SA"/>
        </w:rPr>
        <w:t>10</w:t>
      </w:r>
      <w:r>
        <w:rPr>
          <w:rFonts w:hint="eastAsia" w:ascii="方正仿宋_GBK" w:eastAsia="方正仿宋_GBK" w:cs="仿宋"/>
          <w:sz w:val="32"/>
          <w:szCs w:val="32"/>
          <w:lang w:bidi="ar-SA"/>
        </w:rPr>
        <w:t>日。《江苏省中药饮片不符合药品标准，尚不影响安全性、有效性的认定指导意见（试行）》（苏药监规〔2022〕1号）同时废止。</w:t>
      </w:r>
    </w:p>
    <w:p w14:paraId="68B039D3">
      <w:pPr>
        <w:adjustRightInd w:val="0"/>
        <w:snapToGrid w:val="0"/>
        <w:spacing w:line="590" w:lineRule="exact"/>
        <w:ind w:firstLine="640" w:firstLineChars="200"/>
        <w:rPr>
          <w:rFonts w:hint="eastAsia" w:ascii="方正仿宋_GBK" w:eastAsia="方正仿宋_GBK" w:cs="仿宋"/>
          <w:sz w:val="32"/>
          <w:szCs w:val="32"/>
          <w:lang w:bidi="ar-SA"/>
        </w:rPr>
        <w:sectPr>
          <w:headerReference r:id="rId3" w:type="first"/>
          <w:footerReference r:id="rId6" w:type="first"/>
          <w:footerReference r:id="rId4" w:type="default"/>
          <w:footerReference r:id="rId5" w:type="even"/>
          <w:pgSz w:w="11906" w:h="16838"/>
          <w:pgMar w:top="1814" w:right="1531" w:bottom="1985" w:left="1531" w:header="720" w:footer="1474" w:gutter="0"/>
          <w:cols w:space="720" w:num="1"/>
          <w:docGrid w:type="lines" w:linePitch="312" w:charSpace="0"/>
        </w:sectPr>
      </w:pPr>
    </w:p>
    <w:p w14:paraId="52195A4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兰亭黑_GBK">
    <w:altName w:val="微软雅黑"/>
    <w:panose1 w:val="02000000000000000000"/>
    <w:charset w:val="86"/>
    <w:family w:val="script"/>
    <w:pitch w:val="default"/>
    <w:sig w:usb0="00000000" w:usb1="00000000" w:usb2="0008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AAE12">
    <w:pPr>
      <w:pStyle w:val="2"/>
      <w:jc w:val="both"/>
      <w:rPr>
        <w:rFonts w:hint="eastAsia" w:ascii="方正仿宋_GBK" w:eastAsia="方正仿宋_GBK"/>
        <w:b/>
        <w:sz w:val="24"/>
        <w:szCs w:val="24"/>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46430" cy="20701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6430" cy="207010"/>
                      </a:xfrm>
                      <a:prstGeom prst="rect">
                        <a:avLst/>
                      </a:prstGeom>
                      <a:noFill/>
                      <a:ln>
                        <a:noFill/>
                      </a:ln>
                    </wps:spPr>
                    <wps:txbx>
                      <w:txbxContent>
                        <w:p w14:paraId="65211894">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3pt;width:50.9pt;mso-position-horizontal:outside;mso-position-horizontal-relative:margin;mso-wrap-style:none;z-index:251659264;mso-width-relative:page;mso-height-relative:page;" filled="f" stroked="f" coordsize="21600,21600" o:gfxdata="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UiSfj9EAAAAEAQAADwAAAAAAAAABACAAAAAiAAAAZHJzL2Rvd25y&#10;ZXYueG1sUEsBAhQAFAAAAAgAh07iQC/ClbzMAQAAlwMAAA4AAAAAAAAAAQAgAAAAIAEAAGRycy9l&#10;Mm9Eb2MueG1sUEsFBgAAAAAGAAYAWQEAAF4FAAAAAA==&#10;">
              <v:path/>
              <v:fill on="f" focussize="0,0"/>
              <v:stroke on="f"/>
              <v:imagedata o:title=""/>
              <o:lock v:ext="edit"/>
              <v:textbox inset="0mm,0mm,0mm,0mm" style="mso-fit-shape-to-text:t;">
                <w:txbxContent>
                  <w:p w14:paraId="65211894">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BA918">
    <w:pPr>
      <w:pStyle w:val="2"/>
      <w:framePr w:wrap="around" w:vAnchor="text" w:hAnchor="margin" w:xAlign="outside" w:y="1"/>
      <w:rPr>
        <w:rStyle w:val="6"/>
      </w:rPr>
    </w:pPr>
    <w:r>
      <w:fldChar w:fldCharType="begin"/>
    </w:r>
    <w:r>
      <w:rPr>
        <w:rStyle w:val="6"/>
      </w:rPr>
      <w:instrText xml:space="preserve">PAGE  </w:instrText>
    </w:r>
    <w:r>
      <w:fldChar w:fldCharType="separate"/>
    </w:r>
    <w:r>
      <w:rPr>
        <w:rStyle w:val="6"/>
      </w:rPr>
      <w:t>2</w:t>
    </w:r>
    <w:r>
      <w:fldChar w:fldCharType="end"/>
    </w:r>
  </w:p>
  <w:p w14:paraId="30A64A13">
    <w:pPr>
      <w:pStyle w:val="2"/>
      <w:ind w:right="360" w:firstLine="360"/>
      <w:jc w:val="center"/>
      <w:rPr>
        <w:rFonts w:hint="eastAsia" w:ascii="方正仿宋_GBK" w:eastAsia="方正仿宋_GBK"/>
        <w:sz w:val="24"/>
        <w:szCs w:val="24"/>
      </w:rPr>
    </w:pPr>
    <w:r>
      <w:rPr>
        <w:rStyle w:val="6"/>
        <w:rFonts w:hint="eastAsia" w:ascii="方正仿宋_GBK" w:eastAsia="方正仿宋_GBK"/>
        <w:sz w:val="24"/>
        <w:szCs w:val="24"/>
      </w:rPr>
      <w:t>－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AC4B2">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B910B">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A948BC"/>
    <w:rsid w:val="38A948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2025-12-19T06:16:00Z</dcterms:created>
  <dc:creator>一辈子</dc:creator>
  <cp:lastModifiedBy>一辈子</cp:lastModifiedBy>
  <dcterms:modified xsi:type="dcterms:W3CDTF">2025-12-19T06:17:20Z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A4A7449E20FC49D182BA719A17586098_11</vt:lpwstr>
  </property>
  <property fmtid="{D5CDD505-2E9C-101B-9397-08002B2CF9AE}" pid="4" name="KSOTemplateDocerSaveRecord">
    <vt:lpwstr>eyJoZGlkIjoiZDZhOTk3NzA4NzU0NTkyNzc4NWRhZDAzZWFiNzgyZmIiLCJ1c2VySWQiOiIyODA4OTkxNzYifQ==</vt:lpwstr>
  </property>
</Properties>
</file>