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eastAsia="方正小标宋_GBK"/>
          <w:color w:val="000000" w:themeColor="text1"/>
          <w:sz w:val="44"/>
          <w:szCs w:val="44"/>
          <w:lang w:val="en-US" w:eastAsia="zh-CN"/>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关于</w:t>
      </w:r>
      <w:r>
        <w:rPr>
          <w:rFonts w:hint="eastAsia" w:ascii="方正小标宋_GBK" w:eastAsia="方正小标宋_GBK"/>
          <w:color w:val="000000" w:themeColor="text1"/>
          <w:sz w:val="44"/>
          <w:szCs w:val="44"/>
          <w:lang w:val="en-US" w:eastAsia="zh-CN"/>
          <w14:textFill>
            <w14:solidFill>
              <w14:schemeClr w14:val="tx1"/>
            </w14:solidFill>
          </w14:textFill>
        </w:rPr>
        <w:t>《江苏省药品监督管理行政处罚裁量权适用规则（修订草案征求意见稿）》的起草说明</w:t>
      </w:r>
    </w:p>
    <w:p>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仿宋_GBK" w:eastAsia="方正仿宋_GBK"/>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黑体_GBK" w:eastAsia="方正黑体_GBK"/>
          <w:color w:val="auto"/>
          <w:sz w:val="32"/>
          <w:szCs w:val="32"/>
          <w:lang w:eastAsia="zh-CN"/>
        </w:rPr>
      </w:pPr>
      <w:r>
        <w:rPr>
          <w:rFonts w:hint="eastAsia" w:ascii="方正黑体_GBK" w:eastAsia="方正黑体_GBK"/>
          <w:color w:val="auto"/>
          <w:sz w:val="32"/>
          <w:szCs w:val="32"/>
          <w:lang w:eastAsia="zh-CN"/>
        </w:rPr>
        <w:t>一、起草背景</w:t>
      </w:r>
    </w:p>
    <w:p>
      <w:pPr>
        <w:pStyle w:val="6"/>
        <w:keepNext w:val="0"/>
        <w:keepLines w:val="0"/>
        <w:pageBreakBefore w:val="0"/>
        <w:widowControl w:val="0"/>
        <w:kinsoku/>
        <w:wordWrap/>
        <w:overflowPunct/>
        <w:topLinePunct w:val="0"/>
        <w:autoSpaceDE/>
        <w:autoSpaceDN/>
        <w:bidi w:val="0"/>
        <w:adjustRightInd w:val="0"/>
        <w:snapToGrid w:val="0"/>
        <w:spacing w:line="590" w:lineRule="atLeast"/>
        <w:ind w:left="0" w:firstLine="640" w:firstLineChars="200"/>
        <w:textAlignment w:val="auto"/>
        <w:rPr>
          <w:rFonts w:hint="eastAsia" w:ascii="方正仿宋_GBK" w:eastAsia="方正仿宋_GBK"/>
          <w:color w:val="auto"/>
          <w:sz w:val="32"/>
          <w:szCs w:val="32"/>
          <w:lang w:eastAsia="zh-CN"/>
        </w:rPr>
      </w:pPr>
      <w:r>
        <w:rPr>
          <w:rFonts w:hint="eastAsia" w:ascii="方正仿宋_GBK" w:eastAsia="方正仿宋_GBK" w:cs="方正仿宋_GBK"/>
          <w:color w:val="auto"/>
          <w:spacing w:val="0"/>
          <w:kern w:val="0"/>
          <w:sz w:val="32"/>
          <w:szCs w:val="32"/>
          <w:shd w:val="clear" w:color="auto" w:fill="auto"/>
          <w:lang w:val="en-US" w:eastAsia="zh-CN" w:bidi="ar-SA"/>
        </w:rPr>
        <w:t>我局先后在2021年、2022年制定了《江苏省药品监督管理行政处罚裁量权适用规则（试行）》（附有药品监管行政处罚裁量基准）和《江苏省化妆品监督管理行政处罚裁量参考基准》。按照省政府办公厅印发的《关于统筹推进行政裁量权基准制定和管理工作的通知》要求，我局组织力量对已出台的行政处罚裁量制度进行了评估。经评估，《江苏省药品监督管理行政处罚裁量权适用规则（试行）》存在少数与上位新规定不协调的地方，我局已出台的药品、化妆品监督管理行政处罚裁量基准不够细化，尚无医疗器械行政处罚裁量基准。为贯彻落实国家和省里关于健全行政裁量基准制度、规范行政执法裁量权行使的决策部署，依法合理细化行政处罚裁量具体情形、量化罚款幅度等，推动全省药品监管系统严格规范公正文明执法，我局决定通过立新废旧的方式修订《江苏省药品监督管理行政处罚裁量权适用规则（试行）》《江苏省化妆品监督管理行政处罚裁量参考基准》。</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黑体_GBK" w:hAnsi="微软雅黑" w:eastAsia="方正黑体_GBK" w:cs="宋体"/>
          <w:color w:val="auto"/>
          <w:kern w:val="0"/>
          <w:sz w:val="32"/>
          <w:szCs w:val="32"/>
        </w:rPr>
      </w:pPr>
      <w:r>
        <w:rPr>
          <w:rFonts w:hint="eastAsia" w:ascii="方正黑体_GBK" w:hAnsi="微软雅黑" w:eastAsia="方正黑体_GBK" w:cs="宋体"/>
          <w:color w:val="auto"/>
          <w:kern w:val="0"/>
          <w:sz w:val="32"/>
          <w:szCs w:val="32"/>
          <w:lang w:eastAsia="zh-CN"/>
        </w:rPr>
        <w:t>二</w:t>
      </w:r>
      <w:r>
        <w:rPr>
          <w:rFonts w:hint="eastAsia" w:ascii="方正黑体_GBK" w:hAnsi="微软雅黑" w:eastAsia="方正黑体_GBK" w:cs="宋体"/>
          <w:color w:val="auto"/>
          <w:kern w:val="0"/>
          <w:sz w:val="32"/>
          <w:szCs w:val="32"/>
        </w:rPr>
        <w:t>、</w:t>
      </w:r>
      <w:r>
        <w:rPr>
          <w:rFonts w:hint="eastAsia" w:ascii="方正黑体_GBK" w:hAnsi="微软雅黑" w:eastAsia="方正黑体_GBK" w:cs="宋体"/>
          <w:color w:val="auto"/>
          <w:kern w:val="0"/>
          <w:sz w:val="32"/>
          <w:szCs w:val="32"/>
          <w:lang w:eastAsia="zh-CN"/>
        </w:rPr>
        <w:t>起草主要</w:t>
      </w:r>
      <w:r>
        <w:rPr>
          <w:rFonts w:hint="eastAsia" w:ascii="方正黑体_GBK" w:hAnsi="微软雅黑" w:eastAsia="方正黑体_GBK" w:cs="宋体"/>
          <w:color w:val="auto"/>
          <w:kern w:val="0"/>
          <w:sz w:val="32"/>
          <w:szCs w:val="32"/>
        </w:rPr>
        <w:t>过程</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color w:val="auto"/>
          <w:lang w:val="en-US" w:eastAsia="zh-CN"/>
        </w:rPr>
      </w:pPr>
      <w:r>
        <w:rPr>
          <w:rFonts w:hint="eastAsia" w:ascii="方正仿宋_GBK" w:hAnsi="方正仿宋_GBK" w:eastAsia="方正仿宋_GBK" w:cs="方正仿宋_GBK"/>
          <w:b w:val="0"/>
          <w:bCs w:val="0"/>
          <w:color w:val="auto"/>
          <w:sz w:val="32"/>
          <w:szCs w:val="32"/>
          <w:lang w:val="en-US" w:eastAsia="zh-CN"/>
        </w:rPr>
        <w:t>为做好修订工作，我局</w:t>
      </w:r>
      <w:r>
        <w:rPr>
          <w:rFonts w:hint="eastAsia" w:ascii="方正仿宋_GBK" w:hAnsi="方正仿宋_GBK" w:eastAsia="方正仿宋_GBK" w:cs="方正仿宋_GBK"/>
          <w:b w:val="0"/>
          <w:bCs w:val="0"/>
          <w:color w:val="auto"/>
          <w:sz w:val="32"/>
          <w:szCs w:val="32"/>
          <w:lang w:eastAsia="zh-CN"/>
        </w:rPr>
        <w:t>专门制定方案，成立专班，指定</w:t>
      </w:r>
      <w:r>
        <w:rPr>
          <w:rFonts w:hint="eastAsia" w:ascii="方正仿宋_GBK" w:hAnsi="方正仿宋_GBK" w:eastAsia="方正仿宋_GBK" w:cs="方正仿宋_GBK"/>
          <w:b w:val="0"/>
          <w:bCs w:val="0"/>
          <w:color w:val="auto"/>
          <w:sz w:val="32"/>
          <w:szCs w:val="32"/>
          <w:lang w:val="en-US" w:eastAsia="zh-CN"/>
        </w:rPr>
        <w:t>2</w:t>
      </w:r>
      <w:r>
        <w:rPr>
          <w:rFonts w:hint="eastAsia" w:ascii="方正仿宋_GBK" w:hAnsi="方正仿宋_GBK" w:eastAsia="方正仿宋_GBK" w:cs="方正仿宋_GBK"/>
          <w:b w:val="0"/>
          <w:bCs w:val="0"/>
          <w:color w:val="auto"/>
          <w:sz w:val="32"/>
          <w:szCs w:val="32"/>
          <w:lang w:eastAsia="zh-CN"/>
        </w:rPr>
        <w:t>名公职律师对照上位规定梳理了</w:t>
      </w:r>
      <w:r>
        <w:rPr>
          <w:rFonts w:hint="eastAsia" w:ascii="方正仿宋_GBK" w:hAnsi="方正仿宋_GBK" w:eastAsia="方正仿宋_GBK" w:cs="方正仿宋_GBK"/>
          <w:b w:val="0"/>
          <w:bCs w:val="0"/>
          <w:color w:val="auto"/>
          <w:sz w:val="32"/>
          <w:szCs w:val="32"/>
          <w:lang w:val="en-US" w:eastAsia="zh-CN"/>
        </w:rPr>
        <w:t>《江苏省药品监督管理行政处罚裁量权适用规则（试行）》</w:t>
      </w:r>
      <w:r>
        <w:rPr>
          <w:rFonts w:hint="eastAsia" w:ascii="方正仿宋_GBK" w:hAnsi="方正仿宋_GBK" w:eastAsia="方正仿宋_GBK" w:cs="方正仿宋_GBK"/>
          <w:b w:val="0"/>
          <w:bCs w:val="0"/>
          <w:color w:val="auto"/>
          <w:sz w:val="32"/>
          <w:szCs w:val="32"/>
          <w:lang w:eastAsia="zh-CN"/>
        </w:rPr>
        <w:t>的问题，并在收集、研究兄弟省局的行政处罚裁量制度的基础上，形成</w:t>
      </w:r>
      <w:r>
        <w:rPr>
          <w:rFonts w:hint="eastAsia" w:ascii="方正仿宋_GBK" w:hAnsi="方正仿宋_GBK" w:eastAsia="方正仿宋_GBK" w:cs="方正仿宋_GBK"/>
          <w:b w:val="0"/>
          <w:bCs w:val="0"/>
          <w:color w:val="auto"/>
          <w:sz w:val="32"/>
          <w:szCs w:val="32"/>
          <w:lang w:val="en-US" w:eastAsia="zh-CN"/>
        </w:rPr>
        <w:t>《江苏省药品监督管理行政处罚裁量权适用规则（修订草案征求意见稿）》</w:t>
      </w:r>
      <w:r>
        <w:rPr>
          <w:rFonts w:hint="eastAsia" w:ascii="方正仿宋_GBK" w:hAnsi="方正仿宋_GBK" w:eastAsia="方正仿宋_GBK" w:cs="方正仿宋_GBK"/>
          <w:b w:val="0"/>
          <w:bCs w:val="0"/>
          <w:color w:val="auto"/>
          <w:sz w:val="32"/>
          <w:szCs w:val="32"/>
          <w:lang w:eastAsia="zh-CN"/>
        </w:rPr>
        <w:t>《江苏省药品监督管理行政处罚裁量权适用规则（修订草案</w:t>
      </w:r>
      <w:r>
        <w:rPr>
          <w:rFonts w:hint="eastAsia" w:ascii="方正仿宋_GBK" w:hAnsi="方正仿宋_GBK" w:eastAsia="方正仿宋_GBK" w:cs="方正仿宋_GBK"/>
          <w:b w:val="0"/>
          <w:bCs w:val="0"/>
          <w:color w:val="auto"/>
          <w:sz w:val="32"/>
          <w:szCs w:val="32"/>
          <w:lang w:val="en-US" w:eastAsia="zh-CN"/>
        </w:rPr>
        <w:t>征求意见</w:t>
      </w:r>
      <w:r>
        <w:rPr>
          <w:rFonts w:hint="eastAsia" w:ascii="方正仿宋_GBK" w:hAnsi="方正仿宋_GBK" w:eastAsia="方正仿宋_GBK" w:cs="方正仿宋_GBK"/>
          <w:b w:val="0"/>
          <w:bCs w:val="0"/>
          <w:color w:val="auto"/>
          <w:sz w:val="32"/>
          <w:szCs w:val="32"/>
          <w:lang w:eastAsia="zh-CN"/>
        </w:rPr>
        <w:t>稿对照表）》</w:t>
      </w:r>
      <w:r>
        <w:rPr>
          <w:rFonts w:hint="eastAsia" w:ascii="方正仿宋_GBK" w:hAnsi="方正仿宋_GBK" w:eastAsia="方正仿宋_GBK" w:cs="方正仿宋_GBK"/>
          <w:b w:val="0"/>
          <w:bCs w:val="0"/>
          <w:color w:val="auto"/>
          <w:sz w:val="32"/>
          <w:szCs w:val="32"/>
          <w:lang w:val="en-US" w:eastAsia="zh-CN"/>
        </w:rPr>
        <w:t>《药品行政处罚裁量基准（征求意见稿）》《医疗器械行政处罚裁量基准（征求意见稿）》《化妆品行政处罚裁量基准（征求意见稿）》并在</w:t>
      </w:r>
      <w:r>
        <w:rPr>
          <w:rFonts w:hint="eastAsia" w:ascii="方正仿宋_GBK" w:eastAsia="方正仿宋_GBK" w:cs="方正仿宋_GBK"/>
          <w:color w:val="auto"/>
          <w:spacing w:val="0"/>
          <w:kern w:val="0"/>
          <w:sz w:val="32"/>
          <w:szCs w:val="32"/>
          <w:shd w:val="clear" w:color="auto" w:fill="auto"/>
          <w:lang w:val="en-US" w:eastAsia="zh-CN" w:bidi="ar-SA"/>
        </w:rPr>
        <w:t>全省药品监管系统</w:t>
      </w:r>
      <w:r>
        <w:rPr>
          <w:rFonts w:hint="eastAsia" w:ascii="方正仿宋_GBK" w:hAnsi="方正仿宋_GBK" w:eastAsia="方正仿宋_GBK" w:cs="方正仿宋_GBK"/>
          <w:b w:val="0"/>
          <w:bCs w:val="0"/>
          <w:color w:val="auto"/>
          <w:sz w:val="32"/>
          <w:szCs w:val="32"/>
          <w:lang w:val="en-US" w:eastAsia="zh-CN"/>
        </w:rPr>
        <w:t>内征求意见。之后，结合收集到的意见，我局组织有关处室、法律顾问对修订草案稿及配套的裁量基准稿作了讨论修改，形成本次向社会公开征求意见的《江苏省药品监督管理行政处罚裁量权适用规则（修订草案征求意见稿）》及《药品行政处罚裁量基准（征求意见稿）》《医疗器械行政处罚裁量基准（征求意见稿）》《化妆品行政处罚裁量基准（征求意见稿）》。</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Style w:val="20"/>
          <w:rFonts w:hint="eastAsia" w:ascii="方正黑体_GBK" w:eastAsia="方正黑体_GBK"/>
          <w:color w:val="auto"/>
          <w:sz w:val="32"/>
          <w:szCs w:val="32"/>
          <w:lang w:eastAsia="zh-CN"/>
        </w:rPr>
      </w:pPr>
      <w:r>
        <w:rPr>
          <w:rStyle w:val="20"/>
          <w:rFonts w:hint="eastAsia" w:ascii="方正黑体_GBK" w:eastAsia="方正黑体_GBK"/>
          <w:color w:val="auto"/>
          <w:sz w:val="32"/>
          <w:szCs w:val="32"/>
          <w:lang w:eastAsia="zh-CN"/>
        </w:rPr>
        <w:t>三、起草依据</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rPr>
      </w:pPr>
      <w:r>
        <w:rPr>
          <w:rFonts w:hint="eastAsia" w:ascii="方正仿宋_GBK" w:hAnsi="微软雅黑" w:eastAsia="方正仿宋_GBK" w:cs="宋体"/>
          <w:color w:val="auto"/>
          <w:kern w:val="0"/>
          <w:sz w:val="32"/>
          <w:szCs w:val="32"/>
          <w:lang w:val="en-US" w:eastAsia="zh-CN"/>
        </w:rPr>
        <w:t>1.</w:t>
      </w:r>
      <w:r>
        <w:rPr>
          <w:rFonts w:hint="eastAsia" w:ascii="方正仿宋_GBK" w:hAnsi="微软雅黑" w:eastAsia="方正仿宋_GBK" w:cs="宋体"/>
          <w:color w:val="auto"/>
          <w:kern w:val="0"/>
          <w:sz w:val="32"/>
          <w:szCs w:val="32"/>
        </w:rPr>
        <w:t>《中华人民共和国行政处罚法》（2021年1月22日第十三届全国人民代表大会常务委员会第二十五次会议修订</w:t>
      </w:r>
      <w:r>
        <w:rPr>
          <w:rFonts w:hint="eastAsia" w:ascii="方正仿宋_GBK" w:hAnsi="微软雅黑" w:eastAsia="方正仿宋_GBK" w:cs="宋体"/>
          <w:color w:val="auto"/>
          <w:kern w:val="0"/>
          <w:sz w:val="32"/>
          <w:szCs w:val="32"/>
          <w:lang w:eastAsia="zh-CN"/>
        </w:rPr>
        <w:t>通过</w:t>
      </w:r>
      <w:r>
        <w:rPr>
          <w:rFonts w:hint="eastAsia" w:ascii="方正仿宋_GBK" w:hAnsi="微软雅黑" w:eastAsia="方正仿宋_GBK" w:cs="宋体"/>
          <w:color w:val="auto"/>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2.</w:t>
      </w:r>
      <w:r>
        <w:rPr>
          <w:rFonts w:hint="eastAsia" w:ascii="方正仿宋_GBK" w:hAnsi="微软雅黑" w:eastAsia="方正仿宋_GBK" w:cs="宋体"/>
          <w:color w:val="auto"/>
          <w:kern w:val="0"/>
          <w:sz w:val="32"/>
          <w:szCs w:val="32"/>
        </w:rPr>
        <w:t>《中华人民共和国药品管理法》</w:t>
      </w:r>
      <w:r>
        <w:rPr>
          <w:rFonts w:hint="eastAsia" w:ascii="方正仿宋_GBK" w:hAnsi="微软雅黑" w:eastAsia="方正仿宋_GBK" w:cs="宋体"/>
          <w:color w:val="auto"/>
          <w:kern w:val="0"/>
          <w:sz w:val="32"/>
          <w:szCs w:val="32"/>
          <w:lang w:val="en-US" w:eastAsia="zh-CN"/>
        </w:rPr>
        <w:t>（2019年8月26日</w:t>
      </w:r>
      <w:r>
        <w:rPr>
          <w:rFonts w:hint="eastAsia" w:ascii="方正仿宋_GBK" w:hAnsi="微软雅黑" w:eastAsia="方正仿宋_GBK" w:cs="宋体"/>
          <w:color w:val="auto"/>
          <w:kern w:val="0"/>
          <w:sz w:val="32"/>
          <w:szCs w:val="32"/>
        </w:rPr>
        <w:t>第十三届全国人民代表大会常务委员会第十二次会议修订通过</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rPr>
      </w:pPr>
      <w:r>
        <w:rPr>
          <w:rFonts w:hint="eastAsia" w:ascii="方正仿宋_GBK" w:hAnsi="微软雅黑" w:eastAsia="方正仿宋_GBK" w:cs="宋体"/>
          <w:color w:val="auto"/>
          <w:kern w:val="0"/>
          <w:sz w:val="32"/>
          <w:szCs w:val="32"/>
          <w:lang w:val="en-US" w:eastAsia="zh-CN"/>
        </w:rPr>
        <w:t>3.</w:t>
      </w:r>
      <w:r>
        <w:rPr>
          <w:rFonts w:hint="eastAsia" w:ascii="方正仿宋_GBK" w:hAnsi="微软雅黑" w:eastAsia="方正仿宋_GBK" w:cs="宋体"/>
          <w:color w:val="auto"/>
          <w:kern w:val="0"/>
          <w:sz w:val="32"/>
          <w:szCs w:val="32"/>
        </w:rPr>
        <w:t>《中华人民共和国疫苗管理法》</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2019年6月29日第十三届全国人民代表大会常务委员会第十一次会议通过</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4.</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lang w:val="en-US" w:eastAsia="zh-CN"/>
        </w:rPr>
        <w:t>中华人民共和国中医药法</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2016年12月25日第十二届全国人民代表大会常务委员会第二十五次会议通过</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5.</w:t>
      </w:r>
      <w:r>
        <w:rPr>
          <w:rFonts w:hint="eastAsia" w:ascii="方正仿宋_GBK" w:hAnsi="微软雅黑" w:eastAsia="方正仿宋_GBK" w:cs="宋体"/>
          <w:color w:val="auto"/>
          <w:kern w:val="0"/>
          <w:sz w:val="32"/>
          <w:szCs w:val="32"/>
        </w:rPr>
        <w:t>《医疗器械监督管理条例》</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lang w:val="en-US" w:eastAsia="zh-CN"/>
        </w:rPr>
        <w:t>2021年3月18日公布，国务院令第739号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6.</w:t>
      </w:r>
      <w:r>
        <w:rPr>
          <w:rFonts w:hint="eastAsia" w:ascii="方正仿宋_GBK" w:hAnsi="微软雅黑" w:eastAsia="方正仿宋_GBK" w:cs="宋体"/>
          <w:color w:val="auto"/>
          <w:kern w:val="0"/>
          <w:sz w:val="32"/>
          <w:szCs w:val="32"/>
        </w:rPr>
        <w:t>《化妆品监督管理条例》</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2020</w:t>
      </w:r>
      <w:r>
        <w:rPr>
          <w:rFonts w:hint="eastAsia" w:ascii="方正仿宋_GBK" w:hAnsi="微软雅黑" w:eastAsia="方正仿宋_GBK" w:cs="宋体"/>
          <w:color w:val="auto"/>
          <w:kern w:val="0"/>
          <w:sz w:val="32"/>
          <w:szCs w:val="32"/>
          <w:lang w:eastAsia="zh-CN"/>
        </w:rPr>
        <w:t>年</w:t>
      </w:r>
      <w:r>
        <w:rPr>
          <w:rFonts w:hint="eastAsia" w:ascii="方正仿宋_GBK" w:hAnsi="微软雅黑" w:eastAsia="方正仿宋_GBK" w:cs="宋体"/>
          <w:color w:val="auto"/>
          <w:kern w:val="0"/>
          <w:sz w:val="32"/>
          <w:szCs w:val="32"/>
        </w:rPr>
        <w:t>6</w:t>
      </w:r>
      <w:r>
        <w:rPr>
          <w:rFonts w:hint="eastAsia" w:ascii="方正仿宋_GBK" w:hAnsi="微软雅黑" w:eastAsia="方正仿宋_GBK" w:cs="宋体"/>
          <w:color w:val="auto"/>
          <w:kern w:val="0"/>
          <w:sz w:val="32"/>
          <w:szCs w:val="32"/>
          <w:lang w:eastAsia="zh-CN"/>
        </w:rPr>
        <w:t>月</w:t>
      </w:r>
      <w:r>
        <w:rPr>
          <w:rFonts w:hint="eastAsia" w:ascii="方正仿宋_GBK" w:hAnsi="微软雅黑" w:eastAsia="方正仿宋_GBK" w:cs="宋体"/>
          <w:color w:val="auto"/>
          <w:kern w:val="0"/>
          <w:sz w:val="32"/>
          <w:szCs w:val="32"/>
        </w:rPr>
        <w:t>29</w:t>
      </w:r>
      <w:r>
        <w:rPr>
          <w:rFonts w:hint="eastAsia" w:ascii="方正仿宋_GBK" w:hAnsi="微软雅黑" w:eastAsia="方正仿宋_GBK" w:cs="宋体"/>
          <w:color w:val="auto"/>
          <w:kern w:val="0"/>
          <w:sz w:val="32"/>
          <w:szCs w:val="32"/>
          <w:lang w:eastAsia="zh-CN"/>
        </w:rPr>
        <w:t>日公布，</w:t>
      </w:r>
      <w:r>
        <w:rPr>
          <w:rFonts w:hint="eastAsia" w:ascii="方正仿宋_GBK" w:hAnsi="微软雅黑" w:eastAsia="方正仿宋_GBK" w:cs="宋体"/>
          <w:color w:val="auto"/>
          <w:kern w:val="0"/>
          <w:sz w:val="32"/>
          <w:szCs w:val="32"/>
        </w:rPr>
        <w:t>国务院令第727号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7.</w:t>
      </w:r>
      <w:r>
        <w:rPr>
          <w:rFonts w:hint="eastAsia" w:ascii="方正仿宋_GBK" w:hAnsi="微软雅黑" w:eastAsia="方正仿宋_GBK" w:cs="宋体"/>
          <w:color w:val="auto"/>
          <w:kern w:val="0"/>
          <w:sz w:val="32"/>
          <w:szCs w:val="32"/>
        </w:rPr>
        <w:t>《国务院办公厅关于进一步规范行政裁量权基准制定和管理工作的意见》</w:t>
      </w:r>
      <w:r>
        <w:rPr>
          <w:rFonts w:hint="eastAsia" w:ascii="方正仿宋_GBK" w:hAnsi="微软雅黑" w:eastAsia="方正仿宋_GBK" w:cs="宋体"/>
          <w:color w:val="auto"/>
          <w:kern w:val="0"/>
          <w:sz w:val="32"/>
          <w:szCs w:val="32"/>
          <w:lang w:eastAsia="zh-CN"/>
        </w:rPr>
        <w:t>（</w:t>
      </w:r>
      <w:r>
        <w:rPr>
          <w:rFonts w:hint="default" w:ascii="方正仿宋_GBK" w:hAnsi="微软雅黑" w:eastAsia="方正仿宋_GBK" w:cs="宋体"/>
          <w:color w:val="auto"/>
          <w:kern w:val="0"/>
          <w:sz w:val="32"/>
          <w:szCs w:val="32"/>
          <w:lang w:val="en-US" w:eastAsia="zh-CN"/>
        </w:rPr>
        <w:t>2022年8月17日</w:t>
      </w:r>
      <w:r>
        <w:rPr>
          <w:rFonts w:hint="eastAsia" w:ascii="方正仿宋_GBK" w:hAnsi="微软雅黑" w:eastAsia="方正仿宋_GBK" w:cs="宋体"/>
          <w:color w:val="auto"/>
          <w:kern w:val="0"/>
          <w:sz w:val="32"/>
          <w:szCs w:val="32"/>
          <w:lang w:val="en-US" w:eastAsia="zh-CN"/>
        </w:rPr>
        <w:t>发布，</w:t>
      </w:r>
      <w:r>
        <w:rPr>
          <w:rFonts w:hint="eastAsia" w:ascii="方正仿宋_GBK" w:hAnsi="微软雅黑" w:eastAsia="方正仿宋_GBK" w:cs="宋体"/>
          <w:color w:val="auto"/>
          <w:kern w:val="0"/>
          <w:sz w:val="32"/>
          <w:szCs w:val="32"/>
        </w:rPr>
        <w:t>国办发〔2022〕27号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8.《市场监管总局印发</w:t>
      </w:r>
      <w:r>
        <w:rPr>
          <w:rFonts w:hint="eastAsia" w:ascii="宋体" w:hAnsi="宋体" w:eastAsia="宋体" w:cs="宋体"/>
          <w:color w:val="auto"/>
          <w:kern w:val="0"/>
          <w:sz w:val="32"/>
          <w:szCs w:val="32"/>
          <w:lang w:val="en-US" w:eastAsia="zh-CN"/>
        </w:rPr>
        <w:t>&lt;</w:t>
      </w:r>
      <w:r>
        <w:rPr>
          <w:rFonts w:hint="eastAsia" w:ascii="方正仿宋_GBK" w:hAnsi="微软雅黑" w:eastAsia="方正仿宋_GBK" w:cs="宋体"/>
          <w:color w:val="auto"/>
          <w:kern w:val="0"/>
          <w:sz w:val="32"/>
          <w:szCs w:val="32"/>
          <w:lang w:val="en-US" w:eastAsia="zh-CN"/>
        </w:rPr>
        <w:t>关于规范市场监督管理行政处罚裁量权的指导意见</w:t>
      </w:r>
      <w:r>
        <w:rPr>
          <w:rFonts w:hint="eastAsia" w:ascii="宋体" w:hAnsi="宋体" w:eastAsia="宋体" w:cs="宋体"/>
          <w:color w:val="auto"/>
          <w:kern w:val="0"/>
          <w:sz w:val="32"/>
          <w:szCs w:val="32"/>
          <w:lang w:val="en-US" w:eastAsia="zh-CN"/>
        </w:rPr>
        <w:t>&gt;</w:t>
      </w:r>
      <w:r>
        <w:rPr>
          <w:rFonts w:hint="eastAsia" w:ascii="方正仿宋_GBK" w:hAnsi="微软雅黑" w:eastAsia="方正仿宋_GBK" w:cs="宋体"/>
          <w:color w:val="auto"/>
          <w:kern w:val="0"/>
          <w:sz w:val="32"/>
          <w:szCs w:val="32"/>
          <w:lang w:val="en-US" w:eastAsia="zh-CN"/>
        </w:rPr>
        <w:t>的通知》（2022年10月10日发布，国市监法规〔2022〕2号）；</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9.</w:t>
      </w:r>
      <w:r>
        <w:rPr>
          <w:rFonts w:hint="eastAsia" w:ascii="方正仿宋_GBK" w:hAnsi="微软雅黑" w:eastAsia="方正仿宋_GBK" w:cs="宋体"/>
          <w:color w:val="auto"/>
          <w:kern w:val="0"/>
          <w:sz w:val="32"/>
          <w:szCs w:val="32"/>
        </w:rPr>
        <w:t>《</w:t>
      </w:r>
      <w:r>
        <w:rPr>
          <w:rFonts w:hint="eastAsia" w:ascii="方正仿宋_GBK" w:hAnsi="微软雅黑" w:eastAsia="方正仿宋_GBK" w:cs="宋体"/>
          <w:color w:val="auto"/>
          <w:kern w:val="0"/>
          <w:sz w:val="32"/>
          <w:szCs w:val="32"/>
          <w:lang w:val="en-US" w:eastAsia="zh-CN"/>
        </w:rPr>
        <w:t>安徽省市场监督管理局 上海市市场监督管理局 江苏省市场监督管理局 浙江省市场监督管理局关于印发长三角地区市场监管领域轻微违法行为不予处罚和从轻减轻处罚规定的通知》（2023年1月13日发布，皖市监法〔2023〕1号）；</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lang w:val="en-US" w:eastAsia="zh-CN"/>
        </w:rPr>
        <w:t>10.《省政府办公厅关于统筹推进行政裁量权基准制定和管理工作的通知》（2023年1月16日印发，苏政办</w:t>
      </w:r>
      <w:r>
        <w:rPr>
          <w:rFonts w:hint="eastAsia" w:ascii="方正仿宋_GBK" w:hAnsi="微软雅黑" w:eastAsia="方正仿宋_GBK" w:cs="宋体"/>
          <w:color w:val="auto"/>
          <w:kern w:val="0"/>
          <w:sz w:val="32"/>
          <w:szCs w:val="32"/>
          <w:lang w:val="en-US" w:eastAsia="zh-CN"/>
        </w:rPr>
        <w:t>〔2023〕1号</w:t>
      </w:r>
      <w:r>
        <w:rPr>
          <w:rFonts w:hint="eastAsia" w:ascii="方正仿宋_GBK" w:hAnsi="方正仿宋_GBK" w:eastAsia="方正仿宋_GBK" w:cs="方正仿宋_GBK"/>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黑体_GBK" w:eastAsia="方正黑体_GBK"/>
          <w:color w:val="auto"/>
          <w:sz w:val="32"/>
          <w:szCs w:val="32"/>
          <w:lang w:val="en-US" w:eastAsia="zh-CN"/>
        </w:rPr>
      </w:pPr>
      <w:r>
        <w:rPr>
          <w:rFonts w:hint="eastAsia" w:ascii="方正黑体_GBK" w:eastAsia="方正黑体_GBK"/>
          <w:color w:val="auto"/>
          <w:sz w:val="32"/>
          <w:szCs w:val="32"/>
          <w:lang w:val="en-US" w:eastAsia="zh-CN"/>
        </w:rPr>
        <w:t>四、征求意见稿的框架与主要内容</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color w:val="auto"/>
          <w:lang w:val="en-US" w:eastAsia="zh-CN"/>
        </w:rPr>
      </w:pPr>
      <w:r>
        <w:rPr>
          <w:rFonts w:hint="eastAsia" w:ascii="方正仿宋_GBK" w:hAnsi="方正仿宋_GBK" w:eastAsia="方正仿宋_GBK" w:cs="方正仿宋_GBK"/>
          <w:b w:val="0"/>
          <w:bCs w:val="0"/>
          <w:color w:val="auto"/>
          <w:sz w:val="32"/>
          <w:szCs w:val="32"/>
          <w:lang w:val="en-US" w:eastAsia="zh-CN"/>
        </w:rPr>
        <w:t>《江苏省药品监督管理行政处罚裁量权适用规则（修订草案征求意见稿）》与《药品行政处罚裁量基准（征求意见稿）》《医疗器械行政处罚裁量基准（征求意见稿）》《化妆品行政处罚裁量基准（征求意见稿）》之间是正文和附件的关系。</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楷体_GBK" w:hAnsi="Calibri" w:eastAsia="方正楷体_GBK" w:cs="Times New Roman"/>
          <w:b w:val="0"/>
          <w:bCs w:val="0"/>
          <w:color w:val="auto"/>
          <w:sz w:val="32"/>
          <w:szCs w:val="32"/>
        </w:rPr>
      </w:pPr>
      <w:r>
        <w:rPr>
          <w:rFonts w:hint="eastAsia" w:ascii="方正楷体_GBK" w:hAnsi="Calibri" w:eastAsia="方正楷体_GBK" w:cs="Times New Roman"/>
          <w:b w:val="0"/>
          <w:bCs w:val="0"/>
          <w:color w:val="auto"/>
          <w:sz w:val="32"/>
          <w:szCs w:val="32"/>
        </w:rPr>
        <w:t>（一）正文部分</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仿宋_GBK" w:hAnsi="Calibri" w:eastAsia="方正仿宋_GBK" w:cs="Times New Roman"/>
          <w:b w:val="0"/>
          <w:bCs w:val="0"/>
          <w:color w:val="auto"/>
          <w:sz w:val="32"/>
          <w:szCs w:val="32"/>
        </w:rPr>
      </w:pPr>
      <w:r>
        <w:rPr>
          <w:rFonts w:hint="eastAsia" w:ascii="方正仿宋_GBK" w:hAnsi="Calibri" w:eastAsia="方正仿宋_GBK" w:cs="Times New Roman"/>
          <w:b w:val="0"/>
          <w:bCs w:val="0"/>
          <w:color w:val="auto"/>
          <w:sz w:val="32"/>
          <w:szCs w:val="32"/>
        </w:rPr>
        <w:t>正文分为</w:t>
      </w:r>
      <w:r>
        <w:rPr>
          <w:rFonts w:hint="eastAsia" w:ascii="方正仿宋_GBK" w:hAnsi="Calibri" w:eastAsia="方正仿宋_GBK" w:cs="Times New Roman"/>
          <w:b w:val="0"/>
          <w:bCs w:val="0"/>
          <w:color w:val="auto"/>
          <w:sz w:val="32"/>
          <w:szCs w:val="32"/>
          <w:lang w:eastAsia="zh-CN"/>
        </w:rPr>
        <w:t>六</w:t>
      </w:r>
      <w:r>
        <w:rPr>
          <w:rFonts w:hint="eastAsia" w:ascii="方正仿宋_GBK" w:hAnsi="Calibri" w:eastAsia="方正仿宋_GBK" w:cs="Times New Roman"/>
          <w:b w:val="0"/>
          <w:bCs w:val="0"/>
          <w:color w:val="auto"/>
          <w:sz w:val="32"/>
          <w:szCs w:val="32"/>
        </w:rPr>
        <w:t>章：</w:t>
      </w:r>
    </w:p>
    <w:p>
      <w:pPr>
        <w:keepNext w:val="0"/>
        <w:keepLines w:val="0"/>
        <w:pageBreakBefore w:val="0"/>
        <w:widowControl w:val="0"/>
        <w:kinsoku/>
        <w:wordWrap/>
        <w:overflowPunct/>
        <w:topLinePunct w:val="0"/>
        <w:autoSpaceDE/>
        <w:autoSpaceDN/>
        <w:bidi w:val="0"/>
        <w:adjustRightInd w:val="0"/>
        <w:snapToGrid w:val="0"/>
        <w:spacing w:line="590" w:lineRule="atLeast"/>
        <w:ind w:firstLine="643" w:firstLineChars="200"/>
        <w:textAlignment w:val="auto"/>
        <w:rPr>
          <w:rFonts w:ascii="方正仿宋_GBK" w:hAnsi="Calibri" w:eastAsia="方正仿宋_GBK" w:cs="Times New Roman"/>
          <w:b w:val="0"/>
          <w:bCs w:val="0"/>
          <w:color w:val="auto"/>
          <w:sz w:val="32"/>
          <w:szCs w:val="32"/>
        </w:rPr>
      </w:pPr>
      <w:r>
        <w:rPr>
          <w:rFonts w:hint="eastAsia" w:ascii="方正仿宋_GBK" w:hAnsi="方正仿宋_GBK" w:eastAsia="方正仿宋_GBK" w:cs="方正仿宋_GBK"/>
          <w:b/>
          <w:bCs/>
          <w:color w:val="auto"/>
          <w:sz w:val="32"/>
          <w:szCs w:val="32"/>
          <w:lang w:eastAsia="zh-CN"/>
        </w:rPr>
        <w:t>（1）“第一章  总则”：</w:t>
      </w:r>
      <w:r>
        <w:rPr>
          <w:rFonts w:hint="eastAsia" w:ascii="方正仿宋_GBK" w:hAnsi="Calibri" w:eastAsia="方正仿宋_GBK" w:cs="Times New Roman"/>
          <w:b w:val="0"/>
          <w:bCs w:val="0"/>
          <w:color w:val="auto"/>
          <w:sz w:val="32"/>
          <w:szCs w:val="32"/>
          <w:lang w:eastAsia="zh-CN"/>
        </w:rPr>
        <w:t>拟定</w:t>
      </w:r>
      <w:r>
        <w:rPr>
          <w:rFonts w:hint="eastAsia" w:ascii="方正仿宋_GBK" w:hAnsi="Calibri" w:eastAsia="方正仿宋_GBK" w:cs="Times New Roman"/>
          <w:b w:val="0"/>
          <w:bCs w:val="0"/>
          <w:color w:val="auto"/>
          <w:sz w:val="32"/>
          <w:szCs w:val="32"/>
        </w:rPr>
        <w:t>了制定依据与目的（第一条）、适用范围及行政处罚裁量权</w:t>
      </w:r>
      <w:r>
        <w:rPr>
          <w:rFonts w:hint="eastAsia" w:ascii="方正仿宋_GBK" w:hAnsi="Calibri" w:eastAsia="方正仿宋_GBK" w:cs="Times New Roman"/>
          <w:b w:val="0"/>
          <w:bCs w:val="0"/>
          <w:color w:val="auto"/>
          <w:sz w:val="32"/>
          <w:szCs w:val="32"/>
          <w:lang w:eastAsia="zh-CN"/>
        </w:rPr>
        <w:t>的</w:t>
      </w:r>
      <w:r>
        <w:rPr>
          <w:rFonts w:hint="eastAsia" w:ascii="方正仿宋_GBK" w:hAnsi="Calibri" w:eastAsia="方正仿宋_GBK" w:cs="Times New Roman"/>
          <w:b w:val="0"/>
          <w:bCs w:val="0"/>
          <w:color w:val="auto"/>
          <w:sz w:val="32"/>
          <w:szCs w:val="32"/>
        </w:rPr>
        <w:t>含义（第二条）、行使裁量权应遵循的原则（第三条）</w:t>
      </w:r>
      <w:r>
        <w:rPr>
          <w:rFonts w:hint="eastAsia" w:ascii="方正仿宋_GBK" w:hAnsi="Calibri" w:eastAsia="方正仿宋_GBK" w:cs="Times New Roman"/>
          <w:b w:val="0"/>
          <w:bCs w:val="0"/>
          <w:color w:val="auto"/>
          <w:sz w:val="32"/>
          <w:szCs w:val="32"/>
          <w:lang w:eastAsia="zh-CN"/>
        </w:rPr>
        <w:t>、我局与设区的市药品监督管理部门制定行政处罚裁量制度的权限分配（第四条）</w:t>
      </w:r>
      <w:r>
        <w:rPr>
          <w:rFonts w:hint="eastAsia" w:ascii="方正仿宋_GBK" w:hAnsi="Calibri" w:eastAsia="方正仿宋_GBK" w:cs="Times New Roman"/>
          <w:b w:val="0"/>
          <w:bCs w:val="0"/>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3" w:firstLineChars="200"/>
        <w:textAlignment w:val="auto"/>
        <w:rPr>
          <w:rFonts w:hint="eastAsia" w:ascii="方正仿宋_GBK" w:hAnsi="Calibri" w:eastAsia="方正仿宋_GBK" w:cs="Times New Roman"/>
          <w:b w:val="0"/>
          <w:bCs w:val="0"/>
          <w:color w:val="auto"/>
          <w:sz w:val="32"/>
          <w:szCs w:val="32"/>
          <w:lang w:eastAsia="zh-CN"/>
        </w:rPr>
      </w:pPr>
      <w:r>
        <w:rPr>
          <w:rFonts w:hint="eastAsia" w:ascii="方正仿宋_GBK" w:hAnsi="方正仿宋_GBK" w:eastAsia="方正仿宋_GBK" w:cs="方正仿宋_GBK"/>
          <w:b/>
          <w:bCs/>
          <w:color w:val="auto"/>
          <w:sz w:val="32"/>
          <w:szCs w:val="32"/>
          <w:lang w:eastAsia="zh-CN"/>
        </w:rPr>
        <w:t>（2）“第二章  实体规则”：</w:t>
      </w:r>
      <w:r>
        <w:rPr>
          <w:rFonts w:hint="eastAsia" w:ascii="方正仿宋_GBK" w:hAnsi="Calibri" w:eastAsia="方正仿宋_GBK" w:cs="Times New Roman"/>
          <w:b w:val="0"/>
          <w:bCs w:val="0"/>
          <w:color w:val="auto"/>
          <w:sz w:val="32"/>
          <w:szCs w:val="32"/>
          <w:lang w:val="en-US" w:eastAsia="zh-CN"/>
        </w:rPr>
        <w:t>拟定</w:t>
      </w:r>
      <w:r>
        <w:rPr>
          <w:rFonts w:hint="eastAsia" w:ascii="方正仿宋_GBK" w:hAnsi="Calibri" w:eastAsia="方正仿宋_GBK" w:cs="Times New Roman"/>
          <w:b w:val="0"/>
          <w:bCs w:val="0"/>
          <w:color w:val="auto"/>
          <w:sz w:val="32"/>
          <w:szCs w:val="32"/>
        </w:rPr>
        <w:t>了从重、一般</w:t>
      </w:r>
      <w:r>
        <w:rPr>
          <w:rFonts w:hint="eastAsia" w:ascii="方正仿宋_GBK" w:hAnsi="Calibri" w:eastAsia="方正仿宋_GBK" w:cs="Times New Roman"/>
          <w:b w:val="0"/>
          <w:bCs w:val="0"/>
          <w:color w:val="auto"/>
          <w:sz w:val="32"/>
          <w:szCs w:val="32"/>
          <w:lang w:eastAsia="zh-CN"/>
        </w:rPr>
        <w:t>、</w:t>
      </w:r>
      <w:r>
        <w:rPr>
          <w:rFonts w:hint="eastAsia" w:ascii="方正仿宋_GBK" w:hAnsi="Calibri" w:eastAsia="方正仿宋_GBK" w:cs="Times New Roman"/>
          <w:b w:val="0"/>
          <w:bCs w:val="0"/>
          <w:color w:val="auto"/>
          <w:sz w:val="32"/>
          <w:szCs w:val="32"/>
        </w:rPr>
        <w:t>从轻</w:t>
      </w:r>
      <w:r>
        <w:rPr>
          <w:rFonts w:hint="eastAsia" w:ascii="方正仿宋_GBK" w:hAnsi="Calibri" w:eastAsia="方正仿宋_GBK" w:cs="Times New Roman"/>
          <w:b w:val="0"/>
          <w:bCs w:val="0"/>
          <w:color w:val="auto"/>
          <w:sz w:val="32"/>
          <w:szCs w:val="32"/>
          <w:lang w:eastAsia="zh-CN"/>
        </w:rPr>
        <w:t>、</w:t>
      </w:r>
      <w:r>
        <w:rPr>
          <w:rFonts w:hint="eastAsia" w:ascii="方正仿宋_GBK" w:hAnsi="Calibri" w:eastAsia="方正仿宋_GBK" w:cs="Times New Roman"/>
          <w:b w:val="0"/>
          <w:bCs w:val="0"/>
          <w:color w:val="auto"/>
          <w:sz w:val="32"/>
          <w:szCs w:val="32"/>
        </w:rPr>
        <w:t>减轻</w:t>
      </w:r>
      <w:r>
        <w:rPr>
          <w:rFonts w:hint="eastAsia" w:ascii="方正仿宋_GBK" w:hAnsi="Calibri" w:eastAsia="方正仿宋_GBK" w:cs="Times New Roman"/>
          <w:b w:val="0"/>
          <w:bCs w:val="0"/>
          <w:color w:val="auto"/>
          <w:sz w:val="32"/>
          <w:szCs w:val="32"/>
          <w:lang w:eastAsia="zh-CN"/>
        </w:rPr>
        <w:t>和不予</w:t>
      </w:r>
      <w:r>
        <w:rPr>
          <w:rFonts w:hint="eastAsia" w:ascii="方正仿宋_GBK" w:hAnsi="Calibri" w:eastAsia="方正仿宋_GBK" w:cs="Times New Roman"/>
          <w:b w:val="0"/>
          <w:bCs w:val="0"/>
          <w:color w:val="auto"/>
          <w:sz w:val="32"/>
          <w:szCs w:val="32"/>
        </w:rPr>
        <w:t>行政处罚五个裁量阶次及其含义（第</w:t>
      </w:r>
      <w:r>
        <w:rPr>
          <w:rFonts w:hint="eastAsia" w:ascii="方正仿宋_GBK" w:hAnsi="Calibri" w:eastAsia="方正仿宋_GBK" w:cs="Times New Roman"/>
          <w:b w:val="0"/>
          <w:bCs w:val="0"/>
          <w:color w:val="auto"/>
          <w:sz w:val="32"/>
          <w:szCs w:val="32"/>
          <w:lang w:eastAsia="zh-CN"/>
        </w:rPr>
        <w:t>五</w:t>
      </w:r>
      <w:r>
        <w:rPr>
          <w:rFonts w:hint="eastAsia" w:ascii="方正仿宋_GBK" w:hAnsi="Calibri" w:eastAsia="方正仿宋_GBK" w:cs="Times New Roman"/>
          <w:b w:val="0"/>
          <w:bCs w:val="0"/>
          <w:color w:val="auto"/>
          <w:sz w:val="32"/>
          <w:szCs w:val="32"/>
        </w:rPr>
        <w:t>条），应当从重处罚的情形（第</w:t>
      </w:r>
      <w:r>
        <w:rPr>
          <w:rFonts w:hint="eastAsia" w:ascii="方正仿宋_GBK" w:hAnsi="Calibri" w:eastAsia="方正仿宋_GBK" w:cs="Times New Roman"/>
          <w:b w:val="0"/>
          <w:bCs w:val="0"/>
          <w:color w:val="auto"/>
          <w:sz w:val="32"/>
          <w:szCs w:val="32"/>
          <w:lang w:eastAsia="zh-CN"/>
        </w:rPr>
        <w:t>六</w:t>
      </w:r>
      <w:r>
        <w:rPr>
          <w:rFonts w:hint="eastAsia" w:ascii="方正仿宋_GBK" w:hAnsi="Calibri" w:eastAsia="方正仿宋_GBK" w:cs="Times New Roman"/>
          <w:b w:val="0"/>
          <w:bCs w:val="0"/>
          <w:color w:val="auto"/>
          <w:sz w:val="32"/>
          <w:szCs w:val="32"/>
        </w:rPr>
        <w:t>条），可以从重处罚的情形（第</w:t>
      </w:r>
      <w:r>
        <w:rPr>
          <w:rFonts w:hint="eastAsia" w:ascii="方正仿宋_GBK" w:hAnsi="Calibri" w:eastAsia="方正仿宋_GBK" w:cs="Times New Roman"/>
          <w:b w:val="0"/>
          <w:bCs w:val="0"/>
          <w:color w:val="auto"/>
          <w:sz w:val="32"/>
          <w:szCs w:val="32"/>
          <w:lang w:eastAsia="zh-CN"/>
        </w:rPr>
        <w:t>七</w:t>
      </w:r>
      <w:r>
        <w:rPr>
          <w:rFonts w:hint="eastAsia" w:ascii="方正仿宋_GBK" w:hAnsi="Calibri" w:eastAsia="方正仿宋_GBK" w:cs="Times New Roman"/>
          <w:b w:val="0"/>
          <w:bCs w:val="0"/>
          <w:color w:val="auto"/>
          <w:sz w:val="32"/>
          <w:szCs w:val="32"/>
        </w:rPr>
        <w:t>条），应当从轻处罚的情形（第</w:t>
      </w:r>
      <w:r>
        <w:rPr>
          <w:rFonts w:hint="eastAsia" w:ascii="方正仿宋_GBK" w:hAnsi="Calibri" w:eastAsia="方正仿宋_GBK" w:cs="Times New Roman"/>
          <w:b w:val="0"/>
          <w:bCs w:val="0"/>
          <w:color w:val="auto"/>
          <w:sz w:val="32"/>
          <w:szCs w:val="32"/>
          <w:lang w:eastAsia="zh-CN"/>
        </w:rPr>
        <w:t>八</w:t>
      </w:r>
      <w:r>
        <w:rPr>
          <w:rFonts w:hint="eastAsia" w:ascii="方正仿宋_GBK" w:hAnsi="Calibri" w:eastAsia="方正仿宋_GBK" w:cs="Times New Roman"/>
          <w:b w:val="0"/>
          <w:bCs w:val="0"/>
          <w:color w:val="auto"/>
          <w:sz w:val="32"/>
          <w:szCs w:val="32"/>
        </w:rPr>
        <w:t>条），可以从轻处罚的情形（第</w:t>
      </w:r>
      <w:r>
        <w:rPr>
          <w:rFonts w:hint="eastAsia" w:ascii="方正仿宋_GBK" w:hAnsi="Calibri" w:eastAsia="方正仿宋_GBK" w:cs="Times New Roman"/>
          <w:b w:val="0"/>
          <w:bCs w:val="0"/>
          <w:color w:val="auto"/>
          <w:sz w:val="32"/>
          <w:szCs w:val="32"/>
          <w:lang w:eastAsia="zh-CN"/>
        </w:rPr>
        <w:t>九</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应当</w:t>
      </w:r>
      <w:r>
        <w:rPr>
          <w:rFonts w:hint="eastAsia" w:ascii="方正仿宋_GBK" w:hAnsi="Calibri" w:eastAsia="方正仿宋_GBK" w:cs="Times New Roman"/>
          <w:b w:val="0"/>
          <w:bCs w:val="0"/>
          <w:color w:val="auto"/>
          <w:sz w:val="32"/>
          <w:szCs w:val="32"/>
        </w:rPr>
        <w:t>减轻处罚的情形（第</w:t>
      </w:r>
      <w:r>
        <w:rPr>
          <w:rFonts w:hint="eastAsia" w:ascii="方正仿宋_GBK" w:hAnsi="Calibri" w:eastAsia="方正仿宋_GBK" w:cs="Times New Roman"/>
          <w:b w:val="0"/>
          <w:bCs w:val="0"/>
          <w:color w:val="auto"/>
          <w:sz w:val="32"/>
          <w:szCs w:val="32"/>
          <w:lang w:eastAsia="zh-CN"/>
        </w:rPr>
        <w:t>十</w:t>
      </w:r>
      <w:r>
        <w:rPr>
          <w:rFonts w:hint="eastAsia" w:ascii="方正仿宋_GBK" w:hAnsi="Calibri" w:eastAsia="方正仿宋_GBK" w:cs="Times New Roman"/>
          <w:b w:val="0"/>
          <w:bCs w:val="0"/>
          <w:color w:val="auto"/>
          <w:sz w:val="32"/>
          <w:szCs w:val="32"/>
        </w:rPr>
        <w:t>条），可以减轻处罚的情形（第</w:t>
      </w:r>
      <w:r>
        <w:rPr>
          <w:rFonts w:hint="eastAsia" w:ascii="方正仿宋_GBK" w:hAnsi="Calibri" w:eastAsia="方正仿宋_GBK" w:cs="Times New Roman"/>
          <w:b w:val="0"/>
          <w:bCs w:val="0"/>
          <w:color w:val="auto"/>
          <w:sz w:val="32"/>
          <w:szCs w:val="32"/>
          <w:lang w:eastAsia="zh-CN"/>
        </w:rPr>
        <w:t>十一</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应当不予处罚的情形（第十二条），可以不予处罚的情形及“初次违法”的含义、认定要求、“危害后果轻微”的综合判定因素、“及时改正”的含义及其情形（第十三条），创新包容免罚的条件（第十四条），尽责免罚的条件（第十五条），应当按</w:t>
      </w:r>
      <w:r>
        <w:rPr>
          <w:rFonts w:hint="eastAsia" w:ascii="方正仿宋_GBK" w:hAnsi="Calibri" w:eastAsia="方正仿宋_GBK" w:cs="Times New Roman"/>
          <w:b w:val="0"/>
          <w:bCs w:val="0"/>
          <w:color w:val="auto"/>
          <w:sz w:val="32"/>
          <w:szCs w:val="32"/>
        </w:rPr>
        <w:t>“情节严重”</w:t>
      </w:r>
      <w:r>
        <w:rPr>
          <w:rFonts w:hint="eastAsia" w:ascii="方正仿宋_GBK" w:hAnsi="Calibri" w:eastAsia="方正仿宋_GBK" w:cs="Times New Roman"/>
          <w:b w:val="0"/>
          <w:bCs w:val="0"/>
          <w:color w:val="auto"/>
          <w:sz w:val="32"/>
          <w:szCs w:val="32"/>
          <w:lang w:eastAsia="zh-CN"/>
        </w:rPr>
        <w:t>处罚的</w:t>
      </w:r>
      <w:r>
        <w:rPr>
          <w:rFonts w:hint="eastAsia" w:ascii="方正仿宋_GBK" w:hAnsi="Calibri" w:eastAsia="方正仿宋_GBK" w:cs="Times New Roman"/>
          <w:b w:val="0"/>
          <w:bCs w:val="0"/>
          <w:color w:val="auto"/>
          <w:sz w:val="32"/>
          <w:szCs w:val="32"/>
        </w:rPr>
        <w:t>情形</w:t>
      </w:r>
      <w:r>
        <w:rPr>
          <w:rFonts w:hint="eastAsia" w:ascii="方正仿宋_GBK" w:hAnsi="Calibri" w:eastAsia="方正仿宋_GBK" w:cs="Times New Roman"/>
          <w:b w:val="0"/>
          <w:bCs w:val="0"/>
          <w:color w:val="auto"/>
          <w:sz w:val="32"/>
          <w:szCs w:val="32"/>
          <w:lang w:eastAsia="zh-CN"/>
        </w:rPr>
        <w:t>（第十六条），高风险产品的品种（第十七条），“情节严重”处罚裁量规则（第十八条），综合裁量要求（第十九条），</w:t>
      </w:r>
      <w:r>
        <w:rPr>
          <w:rFonts w:hint="eastAsia" w:ascii="方正仿宋_GBK" w:hAnsi="Calibri" w:eastAsia="方正仿宋_GBK" w:cs="Times New Roman"/>
          <w:b w:val="0"/>
          <w:bCs w:val="0"/>
          <w:color w:val="auto"/>
          <w:sz w:val="32"/>
          <w:szCs w:val="32"/>
        </w:rPr>
        <w:t>对</w:t>
      </w:r>
      <w:r>
        <w:rPr>
          <w:rFonts w:hint="eastAsia" w:ascii="方正仿宋_GBK" w:hAnsi="Calibri" w:eastAsia="方正仿宋_GBK" w:cs="Times New Roman"/>
          <w:b w:val="0"/>
          <w:bCs w:val="0"/>
          <w:color w:val="auto"/>
          <w:sz w:val="32"/>
          <w:szCs w:val="32"/>
          <w:lang w:eastAsia="zh-CN"/>
        </w:rPr>
        <w:t>有无</w:t>
      </w:r>
      <w:r>
        <w:rPr>
          <w:rFonts w:hint="eastAsia" w:ascii="方正仿宋_GBK" w:hAnsi="Calibri" w:eastAsia="方正仿宋_GBK" w:cs="Times New Roman"/>
          <w:b w:val="0"/>
          <w:bCs w:val="0"/>
          <w:color w:val="auto"/>
          <w:sz w:val="32"/>
          <w:szCs w:val="32"/>
        </w:rPr>
        <w:t>牵连关系的数个违法行为的处罚裁量要求（第</w:t>
      </w:r>
      <w:r>
        <w:rPr>
          <w:rFonts w:hint="eastAsia" w:ascii="方正仿宋_GBK" w:hAnsi="Calibri" w:eastAsia="方正仿宋_GBK" w:cs="Times New Roman"/>
          <w:b w:val="0"/>
          <w:bCs w:val="0"/>
          <w:color w:val="auto"/>
          <w:sz w:val="32"/>
          <w:szCs w:val="32"/>
          <w:lang w:eastAsia="zh-CN"/>
        </w:rPr>
        <w:t>二十</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，一事不再罚、</w:t>
      </w:r>
      <w:r>
        <w:rPr>
          <w:rFonts w:hint="eastAsia" w:ascii="方正仿宋_GBK" w:hAnsi="Calibri" w:eastAsia="方正仿宋_GBK" w:cs="Times New Roman"/>
          <w:b w:val="0"/>
          <w:bCs w:val="0"/>
          <w:color w:val="auto"/>
          <w:sz w:val="32"/>
          <w:szCs w:val="32"/>
        </w:rPr>
        <w:t>法条竞合的适用规则（第</w:t>
      </w:r>
      <w:r>
        <w:rPr>
          <w:rFonts w:hint="eastAsia" w:ascii="方正仿宋_GBK" w:hAnsi="Calibri" w:eastAsia="方正仿宋_GBK" w:cs="Times New Roman"/>
          <w:b w:val="0"/>
          <w:bCs w:val="0"/>
          <w:color w:val="auto"/>
          <w:sz w:val="32"/>
          <w:szCs w:val="32"/>
          <w:lang w:eastAsia="zh-CN"/>
        </w:rPr>
        <w:t>二十一</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并处的裁量要求（第二十二条），教育措施（第二十三条）。</w:t>
      </w:r>
    </w:p>
    <w:p>
      <w:pPr>
        <w:keepNext w:val="0"/>
        <w:keepLines w:val="0"/>
        <w:pageBreakBefore w:val="0"/>
        <w:widowControl w:val="0"/>
        <w:kinsoku/>
        <w:wordWrap/>
        <w:overflowPunct/>
        <w:topLinePunct w:val="0"/>
        <w:autoSpaceDE/>
        <w:autoSpaceDN/>
        <w:bidi w:val="0"/>
        <w:adjustRightInd w:val="0"/>
        <w:snapToGrid w:val="0"/>
        <w:spacing w:line="590" w:lineRule="atLeast"/>
        <w:ind w:firstLine="643" w:firstLineChars="200"/>
        <w:textAlignment w:val="auto"/>
        <w:rPr>
          <w:rFonts w:hint="eastAsia" w:ascii="方正仿宋_GBK" w:hAnsi="Calibri" w:eastAsia="方正仿宋_GBK" w:cs="Times New Roman"/>
          <w:b w:val="0"/>
          <w:bCs w:val="0"/>
          <w:color w:val="auto"/>
          <w:sz w:val="32"/>
          <w:szCs w:val="32"/>
          <w:lang w:eastAsia="zh-CN"/>
        </w:rPr>
      </w:pPr>
      <w:r>
        <w:rPr>
          <w:rFonts w:hint="eastAsia" w:ascii="方正仿宋_GBK" w:hAnsi="方正仿宋_GBK" w:eastAsia="方正仿宋_GBK" w:cs="方正仿宋_GBK"/>
          <w:b/>
          <w:bCs/>
          <w:color w:val="auto"/>
          <w:sz w:val="32"/>
          <w:szCs w:val="32"/>
          <w:lang w:eastAsia="zh-CN"/>
        </w:rPr>
        <w:t>（3）“第三章  程序规则”：</w:t>
      </w:r>
      <w:r>
        <w:rPr>
          <w:rFonts w:hint="eastAsia" w:ascii="方正仿宋_GBK" w:hAnsi="Calibri" w:eastAsia="方正仿宋_GBK" w:cs="Times New Roman"/>
          <w:b w:val="0"/>
          <w:bCs w:val="0"/>
          <w:color w:val="auto"/>
          <w:sz w:val="32"/>
          <w:szCs w:val="32"/>
          <w:lang w:val="en-US" w:eastAsia="zh-CN"/>
        </w:rPr>
        <w:t>拟定</w:t>
      </w:r>
      <w:r>
        <w:rPr>
          <w:rFonts w:hint="eastAsia" w:ascii="方正仿宋_GBK" w:hAnsi="Calibri" w:eastAsia="方正仿宋_GBK" w:cs="Times New Roman"/>
          <w:b w:val="0"/>
          <w:bCs w:val="0"/>
          <w:color w:val="auto"/>
          <w:sz w:val="32"/>
          <w:szCs w:val="32"/>
        </w:rPr>
        <w:t>了</w:t>
      </w:r>
      <w:r>
        <w:rPr>
          <w:rFonts w:hint="eastAsia" w:ascii="方正仿宋_GBK" w:hAnsi="Calibri" w:eastAsia="方正仿宋_GBK" w:cs="Times New Roman"/>
          <w:b w:val="0"/>
          <w:bCs w:val="0"/>
          <w:color w:val="auto"/>
          <w:sz w:val="32"/>
          <w:szCs w:val="32"/>
          <w:lang w:eastAsia="zh-CN"/>
        </w:rPr>
        <w:t>总体程序要求（第二十四条），取证原则</w:t>
      </w:r>
      <w:r>
        <w:rPr>
          <w:rFonts w:hint="eastAsia" w:ascii="方正仿宋_GBK" w:hAnsi="Calibri" w:eastAsia="方正仿宋_GBK" w:cs="Times New Roman"/>
          <w:b w:val="0"/>
          <w:bCs w:val="0"/>
          <w:color w:val="auto"/>
          <w:sz w:val="32"/>
          <w:szCs w:val="32"/>
        </w:rPr>
        <w:t>（第</w:t>
      </w:r>
      <w:r>
        <w:rPr>
          <w:rFonts w:hint="eastAsia" w:ascii="方正仿宋_GBK" w:hAnsi="Calibri" w:eastAsia="方正仿宋_GBK" w:cs="Times New Roman"/>
          <w:b w:val="0"/>
          <w:bCs w:val="0"/>
          <w:color w:val="auto"/>
          <w:sz w:val="32"/>
          <w:szCs w:val="32"/>
          <w:lang w:eastAsia="zh-CN"/>
        </w:rPr>
        <w:t>二十五条</w:t>
      </w:r>
      <w:r>
        <w:rPr>
          <w:rFonts w:hint="eastAsia" w:ascii="方正仿宋_GBK" w:hAnsi="Calibri" w:eastAsia="方正仿宋_GBK" w:cs="Times New Roman"/>
          <w:b w:val="0"/>
          <w:bCs w:val="0"/>
          <w:color w:val="auto"/>
          <w:sz w:val="32"/>
          <w:szCs w:val="32"/>
        </w:rPr>
        <w:t>），听取当事人的意见、复核</w:t>
      </w:r>
      <w:r>
        <w:rPr>
          <w:rFonts w:hint="eastAsia" w:ascii="方正仿宋_GBK" w:hAnsi="Calibri" w:eastAsia="方正仿宋_GBK" w:cs="Times New Roman"/>
          <w:b w:val="0"/>
          <w:bCs w:val="0"/>
          <w:color w:val="auto"/>
          <w:sz w:val="32"/>
          <w:szCs w:val="32"/>
          <w:lang w:eastAsia="zh-CN"/>
        </w:rPr>
        <w:t>、</w:t>
      </w:r>
      <w:r>
        <w:rPr>
          <w:rFonts w:hint="eastAsia" w:ascii="方正仿宋_GBK" w:hAnsi="Calibri" w:eastAsia="方正仿宋_GBK" w:cs="Times New Roman"/>
          <w:b w:val="0"/>
          <w:bCs w:val="0"/>
          <w:color w:val="auto"/>
          <w:sz w:val="32"/>
          <w:szCs w:val="32"/>
        </w:rPr>
        <w:t>调查终结报告、法制审核</w:t>
      </w:r>
      <w:r>
        <w:rPr>
          <w:rFonts w:hint="eastAsia" w:ascii="方正仿宋_GBK" w:hAnsi="Calibri" w:eastAsia="方正仿宋_GBK" w:cs="Times New Roman"/>
          <w:b w:val="0"/>
          <w:bCs w:val="0"/>
          <w:color w:val="auto"/>
          <w:sz w:val="32"/>
          <w:szCs w:val="32"/>
          <w:lang w:eastAsia="zh-CN"/>
        </w:rPr>
        <w:t>、集体讨论</w:t>
      </w:r>
      <w:r>
        <w:rPr>
          <w:rFonts w:hint="eastAsia" w:ascii="方正仿宋_GBK" w:hAnsi="Calibri" w:eastAsia="方正仿宋_GBK" w:cs="Times New Roman"/>
          <w:b w:val="0"/>
          <w:bCs w:val="0"/>
          <w:color w:val="auto"/>
          <w:sz w:val="32"/>
          <w:szCs w:val="32"/>
        </w:rPr>
        <w:t>有关要求（第</w:t>
      </w:r>
      <w:r>
        <w:rPr>
          <w:rFonts w:hint="eastAsia" w:ascii="方正仿宋_GBK" w:hAnsi="Calibri" w:eastAsia="方正仿宋_GBK" w:cs="Times New Roman"/>
          <w:b w:val="0"/>
          <w:bCs w:val="0"/>
          <w:color w:val="auto"/>
          <w:sz w:val="32"/>
          <w:szCs w:val="32"/>
          <w:lang w:eastAsia="zh-CN"/>
        </w:rPr>
        <w:t>二十六</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执法</w:t>
      </w:r>
      <w:r>
        <w:rPr>
          <w:rFonts w:hint="eastAsia" w:ascii="方正仿宋_GBK" w:hAnsi="Calibri" w:eastAsia="方正仿宋_GBK" w:cs="Times New Roman"/>
          <w:b w:val="0"/>
          <w:bCs w:val="0"/>
          <w:color w:val="auto"/>
          <w:sz w:val="32"/>
          <w:szCs w:val="32"/>
        </w:rPr>
        <w:t>文书制作</w:t>
      </w:r>
      <w:r>
        <w:rPr>
          <w:rFonts w:hint="eastAsia" w:ascii="方正仿宋_GBK" w:hAnsi="Calibri" w:eastAsia="方正仿宋_GBK" w:cs="Times New Roman"/>
          <w:b w:val="0"/>
          <w:bCs w:val="0"/>
          <w:color w:val="auto"/>
          <w:sz w:val="32"/>
          <w:szCs w:val="32"/>
          <w:lang w:eastAsia="zh-CN"/>
        </w:rPr>
        <w:t>中说明裁量的事实、理由和依据</w:t>
      </w:r>
      <w:r>
        <w:rPr>
          <w:rFonts w:hint="eastAsia" w:ascii="方正仿宋_GBK" w:hAnsi="Calibri" w:eastAsia="方正仿宋_GBK" w:cs="Times New Roman"/>
          <w:b w:val="0"/>
          <w:bCs w:val="0"/>
          <w:color w:val="auto"/>
          <w:sz w:val="32"/>
          <w:szCs w:val="32"/>
        </w:rPr>
        <w:t>要求（第二十</w:t>
      </w:r>
      <w:r>
        <w:rPr>
          <w:rFonts w:hint="eastAsia" w:ascii="方正仿宋_GBK" w:hAnsi="Calibri" w:eastAsia="方正仿宋_GBK" w:cs="Times New Roman"/>
          <w:b w:val="0"/>
          <w:bCs w:val="0"/>
          <w:color w:val="auto"/>
          <w:sz w:val="32"/>
          <w:szCs w:val="32"/>
          <w:lang w:eastAsia="zh-CN"/>
        </w:rPr>
        <w:t>七</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，规则与基准适用的例外要求（第二十八条），简易处罚裁量要求（第二十九条），引用裁量制度的要求（第三十条）。</w:t>
      </w:r>
    </w:p>
    <w:p>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3" w:firstLineChars="200"/>
        <w:textAlignment w:val="auto"/>
        <w:rPr>
          <w:rFonts w:hint="eastAsia" w:ascii="方正仿宋_GBK" w:hAnsi="Calibri" w:eastAsia="方正仿宋_GBK" w:cs="Times New Roman"/>
          <w:b w:val="0"/>
          <w:bCs w:val="0"/>
          <w:color w:val="auto"/>
          <w:sz w:val="32"/>
          <w:szCs w:val="32"/>
          <w:lang w:eastAsia="zh-CN"/>
        </w:rPr>
      </w:pPr>
      <w:r>
        <w:rPr>
          <w:rFonts w:hint="eastAsia" w:ascii="方正仿宋_GBK" w:hAnsi="方正仿宋_GBK" w:eastAsia="方正仿宋_GBK" w:cs="方正仿宋_GBK"/>
          <w:b/>
          <w:bCs/>
          <w:color w:val="auto"/>
          <w:sz w:val="32"/>
          <w:szCs w:val="32"/>
          <w:lang w:eastAsia="zh-CN"/>
        </w:rPr>
        <w:t>（4）“第四章  裁量基准”：</w:t>
      </w:r>
      <w:r>
        <w:rPr>
          <w:rFonts w:hint="eastAsia" w:ascii="方正仿宋_GBK" w:hAnsi="Calibri" w:eastAsia="方正仿宋_GBK" w:cs="Times New Roman"/>
          <w:b w:val="0"/>
          <w:bCs w:val="0"/>
          <w:color w:val="auto"/>
          <w:sz w:val="32"/>
          <w:szCs w:val="32"/>
          <w:lang w:val="en-US" w:eastAsia="zh-CN"/>
        </w:rPr>
        <w:t>拟定</w:t>
      </w:r>
      <w:r>
        <w:rPr>
          <w:rFonts w:hint="eastAsia" w:ascii="方正仿宋_GBK" w:hAnsi="Calibri" w:eastAsia="方正仿宋_GBK" w:cs="Times New Roman"/>
          <w:b w:val="0"/>
          <w:bCs w:val="0"/>
          <w:color w:val="auto"/>
          <w:sz w:val="32"/>
          <w:szCs w:val="32"/>
        </w:rPr>
        <w:t>了</w:t>
      </w:r>
      <w:r>
        <w:rPr>
          <w:rFonts w:hint="eastAsia" w:ascii="方正仿宋_GBK" w:hAnsi="Calibri" w:eastAsia="方正仿宋_GBK" w:cs="Times New Roman"/>
          <w:b w:val="0"/>
          <w:bCs w:val="0"/>
          <w:color w:val="auto"/>
          <w:sz w:val="32"/>
          <w:szCs w:val="32"/>
          <w:lang w:eastAsia="zh-CN"/>
        </w:rPr>
        <w:t>裁量基准的定义（第三十一条），基准内容要求（第三十二条），不同阶次罚款幅度的计算标准（第三十三条），禁业罚的年限确定规则（第三十四条）。</w:t>
      </w:r>
    </w:p>
    <w:p>
      <w:pPr>
        <w:keepNext w:val="0"/>
        <w:keepLines w:val="0"/>
        <w:pageBreakBefore w:val="0"/>
        <w:widowControl w:val="0"/>
        <w:kinsoku/>
        <w:wordWrap/>
        <w:overflowPunct/>
        <w:topLinePunct w:val="0"/>
        <w:autoSpaceDE/>
        <w:autoSpaceDN/>
        <w:bidi w:val="0"/>
        <w:adjustRightInd w:val="0"/>
        <w:snapToGrid w:val="0"/>
        <w:spacing w:line="590" w:lineRule="atLeast"/>
        <w:ind w:firstLine="643" w:firstLineChars="200"/>
        <w:textAlignment w:val="auto"/>
        <w:rPr>
          <w:rFonts w:hint="eastAsia" w:ascii="方正仿宋_GBK" w:hAnsi="Calibri" w:eastAsia="方正仿宋_GBK" w:cs="Times New Roman"/>
          <w:b w:val="0"/>
          <w:bCs w:val="0"/>
          <w:color w:val="auto"/>
          <w:sz w:val="32"/>
          <w:szCs w:val="32"/>
          <w:lang w:eastAsia="zh-CN"/>
        </w:rPr>
      </w:pPr>
      <w:r>
        <w:rPr>
          <w:rFonts w:hint="eastAsia" w:ascii="方正仿宋_GBK" w:hAnsi="方正仿宋_GBK" w:eastAsia="方正仿宋_GBK" w:cs="方正仿宋_GBK"/>
          <w:b/>
          <w:bCs/>
          <w:color w:val="auto"/>
          <w:sz w:val="32"/>
          <w:szCs w:val="32"/>
          <w:lang w:eastAsia="zh-CN"/>
        </w:rPr>
        <w:t>（</w:t>
      </w:r>
      <w:r>
        <w:rPr>
          <w:rFonts w:hint="eastAsia" w:ascii="方正仿宋_GBK" w:hAnsi="方正仿宋_GBK" w:eastAsia="方正仿宋_GBK" w:cs="方正仿宋_GBK"/>
          <w:b/>
          <w:bCs/>
          <w:color w:val="auto"/>
          <w:sz w:val="32"/>
          <w:szCs w:val="32"/>
          <w:lang w:val="en-US" w:eastAsia="zh-CN"/>
        </w:rPr>
        <w:t>5</w:t>
      </w:r>
      <w:r>
        <w:rPr>
          <w:rFonts w:hint="eastAsia" w:ascii="方正仿宋_GBK" w:hAnsi="方正仿宋_GBK" w:eastAsia="方正仿宋_GBK" w:cs="方正仿宋_GBK"/>
          <w:b/>
          <w:bCs/>
          <w:color w:val="auto"/>
          <w:sz w:val="32"/>
          <w:szCs w:val="32"/>
          <w:lang w:eastAsia="zh-CN"/>
        </w:rPr>
        <w:t>）“第五章  监督规则”：</w:t>
      </w:r>
      <w:r>
        <w:rPr>
          <w:rFonts w:hint="eastAsia" w:ascii="方正仿宋_GBK" w:hAnsi="Calibri" w:eastAsia="方正仿宋_GBK" w:cs="Times New Roman"/>
          <w:b w:val="0"/>
          <w:bCs w:val="0"/>
          <w:color w:val="auto"/>
          <w:sz w:val="32"/>
          <w:szCs w:val="32"/>
          <w:lang w:val="en-US" w:eastAsia="zh-CN"/>
        </w:rPr>
        <w:t>拟定</w:t>
      </w:r>
      <w:r>
        <w:rPr>
          <w:rFonts w:hint="eastAsia" w:ascii="方正仿宋_GBK" w:hAnsi="Calibri" w:eastAsia="方正仿宋_GBK" w:cs="Times New Roman"/>
          <w:b w:val="0"/>
          <w:bCs w:val="0"/>
          <w:color w:val="auto"/>
          <w:sz w:val="32"/>
          <w:szCs w:val="32"/>
        </w:rPr>
        <w:t>了适时</w:t>
      </w:r>
      <w:r>
        <w:rPr>
          <w:rFonts w:hint="eastAsia" w:ascii="方正仿宋_GBK" w:hAnsi="Calibri" w:eastAsia="方正仿宋_GBK" w:cs="Times New Roman"/>
          <w:b w:val="0"/>
          <w:bCs w:val="0"/>
          <w:color w:val="auto"/>
          <w:sz w:val="32"/>
          <w:szCs w:val="32"/>
          <w:lang w:eastAsia="zh-CN"/>
        </w:rPr>
        <w:t>评估</w:t>
      </w:r>
      <w:r>
        <w:rPr>
          <w:rFonts w:hint="eastAsia" w:ascii="方正仿宋_GBK" w:hAnsi="Calibri" w:eastAsia="方正仿宋_GBK" w:cs="Times New Roman"/>
          <w:b w:val="0"/>
          <w:bCs w:val="0"/>
          <w:color w:val="auto"/>
          <w:sz w:val="32"/>
          <w:szCs w:val="32"/>
        </w:rPr>
        <w:t>调整</w:t>
      </w:r>
      <w:r>
        <w:rPr>
          <w:rFonts w:hint="eastAsia" w:ascii="方正仿宋_GBK" w:hAnsi="Calibri" w:eastAsia="方正仿宋_GBK" w:cs="Times New Roman"/>
          <w:b w:val="0"/>
          <w:bCs w:val="0"/>
          <w:color w:val="auto"/>
          <w:sz w:val="32"/>
          <w:szCs w:val="32"/>
          <w:lang w:eastAsia="zh-CN"/>
        </w:rPr>
        <w:t>规则并公开</w:t>
      </w:r>
      <w:r>
        <w:rPr>
          <w:rFonts w:hint="eastAsia" w:ascii="方正仿宋_GBK" w:hAnsi="Calibri" w:eastAsia="方正仿宋_GBK" w:cs="Times New Roman"/>
          <w:b w:val="0"/>
          <w:bCs w:val="0"/>
          <w:color w:val="auto"/>
          <w:sz w:val="32"/>
          <w:szCs w:val="32"/>
        </w:rPr>
        <w:t>要求（第</w:t>
      </w:r>
      <w:r>
        <w:rPr>
          <w:rFonts w:hint="eastAsia" w:ascii="方正仿宋_GBK" w:hAnsi="Calibri" w:eastAsia="方正仿宋_GBK" w:cs="Times New Roman"/>
          <w:b w:val="0"/>
          <w:bCs w:val="0"/>
          <w:color w:val="auto"/>
          <w:sz w:val="32"/>
          <w:szCs w:val="32"/>
          <w:lang w:eastAsia="zh-CN"/>
        </w:rPr>
        <w:t>三十五</w:t>
      </w:r>
      <w:r>
        <w:rPr>
          <w:rFonts w:hint="eastAsia" w:ascii="方正仿宋_GBK" w:hAnsi="Calibri" w:eastAsia="方正仿宋_GBK" w:cs="Times New Roman"/>
          <w:b w:val="0"/>
          <w:bCs w:val="0"/>
          <w:color w:val="auto"/>
          <w:sz w:val="32"/>
          <w:szCs w:val="32"/>
        </w:rPr>
        <w:t>条），</w:t>
      </w:r>
      <w:r>
        <w:rPr>
          <w:rFonts w:hint="eastAsia" w:ascii="方正仿宋_GBK" w:hAnsi="Calibri" w:eastAsia="方正仿宋_GBK" w:cs="Times New Roman"/>
          <w:b w:val="0"/>
          <w:bCs w:val="0"/>
          <w:color w:val="auto"/>
          <w:sz w:val="32"/>
          <w:szCs w:val="32"/>
          <w:lang w:eastAsia="zh-CN"/>
        </w:rPr>
        <w:t>加强裁量权行使监督要求（第三十六条），裁量指导要求（第三十七条）。</w:t>
      </w:r>
    </w:p>
    <w:p>
      <w:pPr>
        <w:keepNext w:val="0"/>
        <w:keepLines w:val="0"/>
        <w:pageBreakBefore w:val="0"/>
        <w:widowControl w:val="0"/>
        <w:kinsoku/>
        <w:wordWrap/>
        <w:overflowPunct/>
        <w:topLinePunct w:val="0"/>
        <w:autoSpaceDE/>
        <w:autoSpaceDN/>
        <w:bidi w:val="0"/>
        <w:adjustRightInd w:val="0"/>
        <w:snapToGrid w:val="0"/>
        <w:spacing w:line="590" w:lineRule="atLeast"/>
        <w:ind w:firstLine="643" w:firstLineChars="200"/>
        <w:textAlignment w:val="auto"/>
        <w:rPr>
          <w:rFonts w:ascii="方正仿宋_GBK" w:hAnsi="Calibri" w:eastAsia="方正仿宋_GBK" w:cs="Times New Roman"/>
          <w:b w:val="0"/>
          <w:bCs w:val="0"/>
          <w:color w:val="auto"/>
          <w:sz w:val="32"/>
          <w:szCs w:val="32"/>
        </w:rPr>
      </w:pPr>
      <w:r>
        <w:rPr>
          <w:rFonts w:hint="eastAsia" w:ascii="方正仿宋_GBK" w:hAnsi="方正仿宋_GBK" w:eastAsia="方正仿宋_GBK" w:cs="方正仿宋_GBK"/>
          <w:b/>
          <w:bCs/>
          <w:color w:val="auto"/>
          <w:sz w:val="32"/>
          <w:szCs w:val="32"/>
          <w:lang w:eastAsia="zh-CN"/>
        </w:rPr>
        <w:t>（</w:t>
      </w:r>
      <w:r>
        <w:rPr>
          <w:rFonts w:hint="eastAsia" w:ascii="方正仿宋_GBK" w:hAnsi="方正仿宋_GBK" w:eastAsia="方正仿宋_GBK" w:cs="方正仿宋_GBK"/>
          <w:b/>
          <w:bCs/>
          <w:color w:val="auto"/>
          <w:sz w:val="32"/>
          <w:szCs w:val="32"/>
          <w:lang w:val="en-US" w:eastAsia="zh-CN"/>
        </w:rPr>
        <w:t>6</w:t>
      </w:r>
      <w:r>
        <w:rPr>
          <w:rFonts w:hint="eastAsia" w:ascii="方正仿宋_GBK" w:hAnsi="方正仿宋_GBK" w:eastAsia="方正仿宋_GBK" w:cs="方正仿宋_GBK"/>
          <w:b/>
          <w:bCs/>
          <w:color w:val="auto"/>
          <w:sz w:val="32"/>
          <w:szCs w:val="32"/>
          <w:lang w:eastAsia="zh-CN"/>
        </w:rPr>
        <w:t>）“第六章</w:t>
      </w:r>
      <w:r>
        <w:rPr>
          <w:rFonts w:hint="eastAsia" w:ascii="方正仿宋_GBK" w:hAnsi="方正仿宋_GBK" w:eastAsia="方正仿宋_GBK" w:cs="方正仿宋_GBK"/>
          <w:b/>
          <w:bCs/>
          <w:color w:val="auto"/>
          <w:sz w:val="32"/>
          <w:szCs w:val="32"/>
          <w:lang w:val="en-US" w:eastAsia="zh-CN"/>
        </w:rPr>
        <w:t xml:space="preserve">  附则”：</w:t>
      </w:r>
      <w:r>
        <w:rPr>
          <w:rFonts w:hint="eastAsia" w:ascii="方正仿宋_GBK" w:hAnsi="Calibri" w:eastAsia="方正仿宋_GBK" w:cs="Times New Roman"/>
          <w:b w:val="0"/>
          <w:bCs w:val="0"/>
          <w:color w:val="auto"/>
          <w:sz w:val="32"/>
          <w:szCs w:val="32"/>
          <w:lang w:val="en-US" w:eastAsia="zh-CN"/>
        </w:rPr>
        <w:t>拟定</w:t>
      </w:r>
      <w:r>
        <w:rPr>
          <w:rFonts w:hint="eastAsia" w:ascii="方正仿宋_GBK" w:hAnsi="Calibri" w:eastAsia="方正仿宋_GBK" w:cs="Times New Roman"/>
          <w:b w:val="0"/>
          <w:bCs w:val="0"/>
          <w:color w:val="auto"/>
          <w:sz w:val="32"/>
          <w:szCs w:val="32"/>
          <w:lang w:eastAsia="zh-CN"/>
        </w:rPr>
        <w:t>了本规则的</w:t>
      </w:r>
      <w:r>
        <w:rPr>
          <w:rFonts w:hint="eastAsia" w:ascii="方正仿宋_GBK" w:hAnsi="Calibri" w:eastAsia="方正仿宋_GBK" w:cs="Times New Roman"/>
          <w:b w:val="0"/>
          <w:bCs w:val="0"/>
          <w:color w:val="auto"/>
          <w:sz w:val="32"/>
          <w:szCs w:val="32"/>
        </w:rPr>
        <w:t>解释权规定（第</w:t>
      </w:r>
      <w:r>
        <w:rPr>
          <w:rFonts w:hint="eastAsia" w:ascii="方正仿宋_GBK" w:hAnsi="Calibri" w:eastAsia="方正仿宋_GBK" w:cs="Times New Roman"/>
          <w:b w:val="0"/>
          <w:bCs w:val="0"/>
          <w:color w:val="auto"/>
          <w:sz w:val="32"/>
          <w:szCs w:val="32"/>
          <w:lang w:eastAsia="zh-CN"/>
        </w:rPr>
        <w:t>三十八</w:t>
      </w:r>
      <w:r>
        <w:rPr>
          <w:rFonts w:hint="eastAsia" w:ascii="方正仿宋_GBK" w:hAnsi="Calibri" w:eastAsia="方正仿宋_GBK" w:cs="Times New Roman"/>
          <w:b w:val="0"/>
          <w:bCs w:val="0"/>
          <w:color w:val="auto"/>
          <w:sz w:val="32"/>
          <w:szCs w:val="32"/>
        </w:rPr>
        <w:t>条），本规则开始施行时间</w:t>
      </w:r>
      <w:r>
        <w:rPr>
          <w:rFonts w:hint="eastAsia" w:ascii="方正仿宋_GBK" w:hAnsi="Calibri" w:eastAsia="方正仿宋_GBK" w:cs="Times New Roman"/>
          <w:b w:val="0"/>
          <w:bCs w:val="0"/>
          <w:color w:val="auto"/>
          <w:sz w:val="32"/>
          <w:szCs w:val="32"/>
          <w:lang w:eastAsia="zh-CN"/>
        </w:rPr>
        <w:t>、有效期</w:t>
      </w:r>
      <w:r>
        <w:rPr>
          <w:rFonts w:hint="eastAsia" w:ascii="方正仿宋_GBK" w:hAnsi="Calibri" w:eastAsia="方正仿宋_GBK" w:cs="Times New Roman"/>
          <w:b w:val="0"/>
          <w:bCs w:val="0"/>
          <w:color w:val="auto"/>
          <w:sz w:val="32"/>
          <w:szCs w:val="32"/>
        </w:rPr>
        <w:t>与废止文件要求（第</w:t>
      </w:r>
      <w:r>
        <w:rPr>
          <w:rFonts w:hint="eastAsia" w:ascii="方正仿宋_GBK" w:hAnsi="Calibri" w:eastAsia="方正仿宋_GBK" w:cs="Times New Roman"/>
          <w:b w:val="0"/>
          <w:bCs w:val="0"/>
          <w:color w:val="auto"/>
          <w:sz w:val="32"/>
          <w:szCs w:val="32"/>
          <w:lang w:eastAsia="zh-CN"/>
        </w:rPr>
        <w:t>三十九</w:t>
      </w:r>
      <w:r>
        <w:rPr>
          <w:rFonts w:hint="eastAsia" w:ascii="方正仿宋_GBK" w:hAnsi="Calibri" w:eastAsia="方正仿宋_GBK" w:cs="Times New Roman"/>
          <w:b w:val="0"/>
          <w:bCs w:val="0"/>
          <w:color w:val="auto"/>
          <w:sz w:val="32"/>
          <w:szCs w:val="32"/>
        </w:rPr>
        <w:t>条）。</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楷体_GBK" w:hAnsi="Calibri" w:eastAsia="方正楷体_GBK" w:cs="Times New Roman"/>
          <w:b w:val="0"/>
          <w:bCs w:val="0"/>
          <w:color w:val="auto"/>
          <w:sz w:val="32"/>
          <w:szCs w:val="32"/>
        </w:rPr>
      </w:pPr>
      <w:r>
        <w:rPr>
          <w:rFonts w:hint="eastAsia" w:ascii="方正楷体_GBK" w:hAnsi="Calibri" w:eastAsia="方正楷体_GBK" w:cs="Times New Roman"/>
          <w:b w:val="0"/>
          <w:bCs w:val="0"/>
          <w:color w:val="auto"/>
          <w:sz w:val="32"/>
          <w:szCs w:val="32"/>
        </w:rPr>
        <w:t>（二）附件部分</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eastAsia="方正仿宋_GBK" w:cs="方正仿宋_GBK"/>
          <w:color w:val="auto"/>
          <w:spacing w:val="0"/>
          <w:kern w:val="0"/>
          <w:sz w:val="32"/>
          <w:szCs w:val="32"/>
          <w:lang w:eastAsia="zh-CN" w:bidi="ar-SA"/>
        </w:rPr>
      </w:pPr>
      <w:r>
        <w:rPr>
          <w:rFonts w:hint="eastAsia" w:ascii="方正仿宋_GBK" w:hAnsi="Calibri" w:eastAsia="方正仿宋_GBK" w:cs="Times New Roman"/>
          <w:b w:val="0"/>
          <w:bCs w:val="0"/>
          <w:color w:val="auto"/>
          <w:sz w:val="32"/>
          <w:szCs w:val="32"/>
          <w:lang w:val="en-US" w:eastAsia="zh-CN"/>
        </w:rPr>
        <w:t>包括</w:t>
      </w:r>
      <w:r>
        <w:rPr>
          <w:rFonts w:hint="eastAsia" w:ascii="方正仿宋_GBK" w:hAnsi="方正仿宋_GBK" w:eastAsia="方正仿宋_GBK" w:cs="方正仿宋_GBK"/>
          <w:b w:val="0"/>
          <w:bCs w:val="0"/>
          <w:color w:val="auto"/>
          <w:sz w:val="32"/>
          <w:szCs w:val="32"/>
          <w:lang w:val="en-US" w:eastAsia="zh-CN"/>
        </w:rPr>
        <w:t>《药品行政处罚裁量基准（征求意见稿）》《医疗器械行政处罚裁量基准（征求意见稿）》《化妆品行政处罚裁量基准（征求意见稿）》。</w:t>
      </w:r>
      <w:r>
        <w:rPr>
          <w:rFonts w:hint="eastAsia" w:ascii="方正仿宋_GBK" w:hAnsi="Calibri" w:eastAsia="方正仿宋_GBK" w:cs="Times New Roman"/>
          <w:b w:val="0"/>
          <w:bCs w:val="0"/>
          <w:color w:val="auto"/>
          <w:sz w:val="32"/>
          <w:szCs w:val="32"/>
          <w:lang w:val="en-US" w:eastAsia="zh-CN"/>
        </w:rPr>
        <w:t>三个基准分别是</w:t>
      </w:r>
      <w:r>
        <w:rPr>
          <w:rFonts w:hint="eastAsia" w:ascii="方正仿宋_GBK" w:eastAsia="方正仿宋_GBK" w:cs="方正仿宋_GBK"/>
          <w:color w:val="auto"/>
          <w:spacing w:val="0"/>
          <w:kern w:val="0"/>
          <w:sz w:val="32"/>
          <w:szCs w:val="32"/>
          <w:lang w:bidi="ar-SA"/>
        </w:rPr>
        <w:t>药品、医疗器械、化妆品行政处罚</w:t>
      </w:r>
      <w:r>
        <w:rPr>
          <w:rFonts w:hint="eastAsia" w:ascii="方正仿宋_GBK" w:eastAsia="方正仿宋_GBK" w:cs="方正仿宋_GBK"/>
          <w:color w:val="auto"/>
          <w:spacing w:val="0"/>
          <w:kern w:val="0"/>
          <w:sz w:val="32"/>
          <w:szCs w:val="32"/>
          <w:lang w:val="en-US" w:eastAsia="zh-CN" w:bidi="ar-SA"/>
        </w:rPr>
        <w:t>中罚款的</w:t>
      </w:r>
      <w:r>
        <w:rPr>
          <w:rFonts w:hint="eastAsia" w:ascii="方正仿宋_GBK" w:eastAsia="方正仿宋_GBK" w:cs="方正仿宋_GBK"/>
          <w:color w:val="auto"/>
          <w:spacing w:val="0"/>
          <w:kern w:val="0"/>
          <w:sz w:val="32"/>
          <w:szCs w:val="32"/>
          <w:lang w:bidi="ar-SA"/>
        </w:rPr>
        <w:t>裁量基准</w:t>
      </w:r>
      <w:r>
        <w:rPr>
          <w:rFonts w:hint="eastAsia" w:ascii="方正仿宋_GBK" w:eastAsia="方正仿宋_GBK" w:cs="方正仿宋_GBK"/>
          <w:color w:val="auto"/>
          <w:spacing w:val="0"/>
          <w:kern w:val="0"/>
          <w:sz w:val="32"/>
          <w:szCs w:val="32"/>
          <w:lang w:eastAsia="zh-CN" w:bidi="ar-SA"/>
        </w:rPr>
        <w:t>，每个基准中的每一条是针对具体法律责任条文的具体裁量基准，拟定了不同裁量阶次的具体情形及其罚款幅度。</w:t>
      </w:r>
      <w:bookmarkStart w:id="0" w:name="_GoBack"/>
      <w:bookmarkEnd w:id="0"/>
    </w:p>
    <w:sectPr>
      <w:footerReference r:id="rId3" w:type="default"/>
      <w:pgSz w:w="11906" w:h="16838"/>
      <w:pgMar w:top="1814" w:right="1531" w:bottom="1985" w:left="1531" w:header="720"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ZjNTkyZmI1NjVhMmQ2ZGM4MTY4OWIyZTY4ZDIifQ=="/>
  </w:docVars>
  <w:rsids>
    <w:rsidRoot w:val="00BA601E"/>
    <w:rsid w:val="00015C69"/>
    <w:rsid w:val="00026D7E"/>
    <w:rsid w:val="000421DA"/>
    <w:rsid w:val="000652C6"/>
    <w:rsid w:val="00065F50"/>
    <w:rsid w:val="00092A18"/>
    <w:rsid w:val="00093E49"/>
    <w:rsid w:val="000D4CC9"/>
    <w:rsid w:val="000E2D6D"/>
    <w:rsid w:val="00105D71"/>
    <w:rsid w:val="001209C8"/>
    <w:rsid w:val="00125D99"/>
    <w:rsid w:val="001408A3"/>
    <w:rsid w:val="001430FF"/>
    <w:rsid w:val="0017482F"/>
    <w:rsid w:val="00192253"/>
    <w:rsid w:val="001B1141"/>
    <w:rsid w:val="001E7F1D"/>
    <w:rsid w:val="0021022C"/>
    <w:rsid w:val="00213CF6"/>
    <w:rsid w:val="00226DB3"/>
    <w:rsid w:val="00231862"/>
    <w:rsid w:val="002330AA"/>
    <w:rsid w:val="002372F0"/>
    <w:rsid w:val="00254B3F"/>
    <w:rsid w:val="002620CB"/>
    <w:rsid w:val="002E76D6"/>
    <w:rsid w:val="002F75F0"/>
    <w:rsid w:val="002F7D48"/>
    <w:rsid w:val="00300C5E"/>
    <w:rsid w:val="00344AB3"/>
    <w:rsid w:val="00354CCC"/>
    <w:rsid w:val="0037753B"/>
    <w:rsid w:val="00380B24"/>
    <w:rsid w:val="003C06F3"/>
    <w:rsid w:val="003C61F7"/>
    <w:rsid w:val="003D6814"/>
    <w:rsid w:val="003E3B68"/>
    <w:rsid w:val="00401A0A"/>
    <w:rsid w:val="0041762A"/>
    <w:rsid w:val="004525F8"/>
    <w:rsid w:val="004544AD"/>
    <w:rsid w:val="00464024"/>
    <w:rsid w:val="004A2732"/>
    <w:rsid w:val="004B0D73"/>
    <w:rsid w:val="004D54F9"/>
    <w:rsid w:val="00500FA8"/>
    <w:rsid w:val="00517C4F"/>
    <w:rsid w:val="00555DC1"/>
    <w:rsid w:val="00570DF3"/>
    <w:rsid w:val="005850D1"/>
    <w:rsid w:val="00587AE3"/>
    <w:rsid w:val="005A359C"/>
    <w:rsid w:val="005C64DA"/>
    <w:rsid w:val="00604D7D"/>
    <w:rsid w:val="00637B83"/>
    <w:rsid w:val="006437D8"/>
    <w:rsid w:val="00671E45"/>
    <w:rsid w:val="00674A64"/>
    <w:rsid w:val="0067641F"/>
    <w:rsid w:val="00680332"/>
    <w:rsid w:val="00680EA4"/>
    <w:rsid w:val="00681BF4"/>
    <w:rsid w:val="006867DF"/>
    <w:rsid w:val="00687468"/>
    <w:rsid w:val="006A1642"/>
    <w:rsid w:val="006D16BA"/>
    <w:rsid w:val="00702CDD"/>
    <w:rsid w:val="00715F57"/>
    <w:rsid w:val="00732E2C"/>
    <w:rsid w:val="00736CE9"/>
    <w:rsid w:val="00742F10"/>
    <w:rsid w:val="00754894"/>
    <w:rsid w:val="0077796E"/>
    <w:rsid w:val="00794BB1"/>
    <w:rsid w:val="007E4E01"/>
    <w:rsid w:val="007F1403"/>
    <w:rsid w:val="007F28E5"/>
    <w:rsid w:val="007F4E81"/>
    <w:rsid w:val="00800C4A"/>
    <w:rsid w:val="0086643B"/>
    <w:rsid w:val="00906D4C"/>
    <w:rsid w:val="009504CA"/>
    <w:rsid w:val="00954AA7"/>
    <w:rsid w:val="009556A4"/>
    <w:rsid w:val="00997E02"/>
    <w:rsid w:val="009C47CC"/>
    <w:rsid w:val="009C4C75"/>
    <w:rsid w:val="009D1262"/>
    <w:rsid w:val="00A23E8E"/>
    <w:rsid w:val="00A24386"/>
    <w:rsid w:val="00A52EFE"/>
    <w:rsid w:val="00A86D08"/>
    <w:rsid w:val="00AE0B7C"/>
    <w:rsid w:val="00AF3599"/>
    <w:rsid w:val="00AF6EF7"/>
    <w:rsid w:val="00B065C8"/>
    <w:rsid w:val="00B26268"/>
    <w:rsid w:val="00B52690"/>
    <w:rsid w:val="00BA5457"/>
    <w:rsid w:val="00BA601E"/>
    <w:rsid w:val="00BD1D88"/>
    <w:rsid w:val="00BE0AC4"/>
    <w:rsid w:val="00BE1022"/>
    <w:rsid w:val="00BF4BC9"/>
    <w:rsid w:val="00CA5A5A"/>
    <w:rsid w:val="00D10872"/>
    <w:rsid w:val="00D15142"/>
    <w:rsid w:val="00D23C22"/>
    <w:rsid w:val="00D604BA"/>
    <w:rsid w:val="00D6415F"/>
    <w:rsid w:val="00D77ED0"/>
    <w:rsid w:val="00D90BBC"/>
    <w:rsid w:val="00DB109A"/>
    <w:rsid w:val="00DE0C92"/>
    <w:rsid w:val="00DE40C4"/>
    <w:rsid w:val="00E569E0"/>
    <w:rsid w:val="00E8623C"/>
    <w:rsid w:val="00EA302D"/>
    <w:rsid w:val="00EA33E3"/>
    <w:rsid w:val="00EB4463"/>
    <w:rsid w:val="00F052DB"/>
    <w:rsid w:val="00F53526"/>
    <w:rsid w:val="00F5511B"/>
    <w:rsid w:val="00F70F94"/>
    <w:rsid w:val="00F82504"/>
    <w:rsid w:val="00F8650C"/>
    <w:rsid w:val="00FB0C6B"/>
    <w:rsid w:val="00FC740D"/>
    <w:rsid w:val="00FE7A0C"/>
    <w:rsid w:val="00FF6265"/>
    <w:rsid w:val="01600513"/>
    <w:rsid w:val="01CA3F1A"/>
    <w:rsid w:val="040D3755"/>
    <w:rsid w:val="042641C0"/>
    <w:rsid w:val="044E498E"/>
    <w:rsid w:val="06F04422"/>
    <w:rsid w:val="06FE6B3F"/>
    <w:rsid w:val="073D6597"/>
    <w:rsid w:val="07AB0349"/>
    <w:rsid w:val="08145EEF"/>
    <w:rsid w:val="084D31AF"/>
    <w:rsid w:val="09414AC1"/>
    <w:rsid w:val="09756E61"/>
    <w:rsid w:val="09EF6C13"/>
    <w:rsid w:val="0A0106F5"/>
    <w:rsid w:val="0B095AB3"/>
    <w:rsid w:val="0B8769D7"/>
    <w:rsid w:val="0BC02C20"/>
    <w:rsid w:val="0CA152BE"/>
    <w:rsid w:val="0CCC6D98"/>
    <w:rsid w:val="0D044068"/>
    <w:rsid w:val="0E252C04"/>
    <w:rsid w:val="0E7019A5"/>
    <w:rsid w:val="0ED2440E"/>
    <w:rsid w:val="0FAB7F84"/>
    <w:rsid w:val="10710382"/>
    <w:rsid w:val="10DE353E"/>
    <w:rsid w:val="11405FA6"/>
    <w:rsid w:val="11D861DF"/>
    <w:rsid w:val="12D20E80"/>
    <w:rsid w:val="12F873F0"/>
    <w:rsid w:val="14025795"/>
    <w:rsid w:val="14AB63AC"/>
    <w:rsid w:val="153B2D0D"/>
    <w:rsid w:val="15E862C7"/>
    <w:rsid w:val="160A51AE"/>
    <w:rsid w:val="16C66BE6"/>
    <w:rsid w:val="17263548"/>
    <w:rsid w:val="189310B2"/>
    <w:rsid w:val="18FD3358"/>
    <w:rsid w:val="192D6E10"/>
    <w:rsid w:val="19801636"/>
    <w:rsid w:val="1B2D759B"/>
    <w:rsid w:val="1B707CB3"/>
    <w:rsid w:val="1BE7774A"/>
    <w:rsid w:val="1C2D7E0E"/>
    <w:rsid w:val="1D1A3B4F"/>
    <w:rsid w:val="1D9507E4"/>
    <w:rsid w:val="1D9A1F0A"/>
    <w:rsid w:val="1E1D38F7"/>
    <w:rsid w:val="1E9D0594"/>
    <w:rsid w:val="1EA57449"/>
    <w:rsid w:val="1F6C41A4"/>
    <w:rsid w:val="1F9F033C"/>
    <w:rsid w:val="1FA57DDF"/>
    <w:rsid w:val="1FB2006F"/>
    <w:rsid w:val="20FE6351"/>
    <w:rsid w:val="211B128C"/>
    <w:rsid w:val="21555156"/>
    <w:rsid w:val="220D77DF"/>
    <w:rsid w:val="22283615"/>
    <w:rsid w:val="23377209"/>
    <w:rsid w:val="246C2EE2"/>
    <w:rsid w:val="24BB5C18"/>
    <w:rsid w:val="24C50961"/>
    <w:rsid w:val="250A44A9"/>
    <w:rsid w:val="250A6257"/>
    <w:rsid w:val="25DD571A"/>
    <w:rsid w:val="26127ABA"/>
    <w:rsid w:val="261455E0"/>
    <w:rsid w:val="265C2AE3"/>
    <w:rsid w:val="26661BB3"/>
    <w:rsid w:val="26B30D08"/>
    <w:rsid w:val="273C54C8"/>
    <w:rsid w:val="279462AC"/>
    <w:rsid w:val="27D17500"/>
    <w:rsid w:val="28932352"/>
    <w:rsid w:val="293C78E0"/>
    <w:rsid w:val="29A0362E"/>
    <w:rsid w:val="2A8275BB"/>
    <w:rsid w:val="2AF60D6D"/>
    <w:rsid w:val="2B083239"/>
    <w:rsid w:val="2B4C581C"/>
    <w:rsid w:val="2B6A3EF4"/>
    <w:rsid w:val="2D6329A9"/>
    <w:rsid w:val="2DAB007F"/>
    <w:rsid w:val="2EF57F78"/>
    <w:rsid w:val="30104898"/>
    <w:rsid w:val="30134B5A"/>
    <w:rsid w:val="31D75713"/>
    <w:rsid w:val="3207249C"/>
    <w:rsid w:val="33F46A50"/>
    <w:rsid w:val="344164C5"/>
    <w:rsid w:val="34CA36DC"/>
    <w:rsid w:val="34E645EB"/>
    <w:rsid w:val="351729F7"/>
    <w:rsid w:val="359009FB"/>
    <w:rsid w:val="35BC17F0"/>
    <w:rsid w:val="35E0728C"/>
    <w:rsid w:val="35F25212"/>
    <w:rsid w:val="364A34CF"/>
    <w:rsid w:val="36F823B4"/>
    <w:rsid w:val="37B502A5"/>
    <w:rsid w:val="38804D57"/>
    <w:rsid w:val="38EC7CF6"/>
    <w:rsid w:val="3A0E1EEE"/>
    <w:rsid w:val="3A6A0B07"/>
    <w:rsid w:val="3B1D063B"/>
    <w:rsid w:val="3BB83595"/>
    <w:rsid w:val="3BCE7B87"/>
    <w:rsid w:val="3BFC64A2"/>
    <w:rsid w:val="3C047A4D"/>
    <w:rsid w:val="3C7050E2"/>
    <w:rsid w:val="3CB50F6A"/>
    <w:rsid w:val="3CC80A7A"/>
    <w:rsid w:val="3E040F4F"/>
    <w:rsid w:val="3EC6723B"/>
    <w:rsid w:val="3F626F64"/>
    <w:rsid w:val="3FB62E0C"/>
    <w:rsid w:val="40127DC8"/>
    <w:rsid w:val="412344D1"/>
    <w:rsid w:val="41670862"/>
    <w:rsid w:val="42892A5A"/>
    <w:rsid w:val="428B1249"/>
    <w:rsid w:val="42B74B72"/>
    <w:rsid w:val="42D95503"/>
    <w:rsid w:val="43B875A6"/>
    <w:rsid w:val="44240C8C"/>
    <w:rsid w:val="44305883"/>
    <w:rsid w:val="448D4015"/>
    <w:rsid w:val="450B59A8"/>
    <w:rsid w:val="45E52077"/>
    <w:rsid w:val="462036D5"/>
    <w:rsid w:val="46565349"/>
    <w:rsid w:val="46737CA9"/>
    <w:rsid w:val="46805F22"/>
    <w:rsid w:val="47264561"/>
    <w:rsid w:val="479F09BE"/>
    <w:rsid w:val="47CA56A6"/>
    <w:rsid w:val="49E07403"/>
    <w:rsid w:val="4A280DAA"/>
    <w:rsid w:val="4AB32D6A"/>
    <w:rsid w:val="4AD8632C"/>
    <w:rsid w:val="4BF4363A"/>
    <w:rsid w:val="4BF90C50"/>
    <w:rsid w:val="4C066EC9"/>
    <w:rsid w:val="4C101AF6"/>
    <w:rsid w:val="4C4A325A"/>
    <w:rsid w:val="4D553C64"/>
    <w:rsid w:val="4D93478D"/>
    <w:rsid w:val="4DD043AD"/>
    <w:rsid w:val="4E27029F"/>
    <w:rsid w:val="4E813DB2"/>
    <w:rsid w:val="4EA977D1"/>
    <w:rsid w:val="4F041DE6"/>
    <w:rsid w:val="4F5C305D"/>
    <w:rsid w:val="4FFA0AF3"/>
    <w:rsid w:val="501A2F43"/>
    <w:rsid w:val="518C6611"/>
    <w:rsid w:val="53BF452D"/>
    <w:rsid w:val="54AB4AB2"/>
    <w:rsid w:val="56617B1E"/>
    <w:rsid w:val="56847368"/>
    <w:rsid w:val="571B337B"/>
    <w:rsid w:val="573D1FCA"/>
    <w:rsid w:val="57EC3417"/>
    <w:rsid w:val="585316E8"/>
    <w:rsid w:val="58E81E30"/>
    <w:rsid w:val="5A3B0686"/>
    <w:rsid w:val="5A771D26"/>
    <w:rsid w:val="5AA555A4"/>
    <w:rsid w:val="5BA26C0E"/>
    <w:rsid w:val="5BCE7A03"/>
    <w:rsid w:val="5C22110F"/>
    <w:rsid w:val="5D042FB1"/>
    <w:rsid w:val="5D121B72"/>
    <w:rsid w:val="5DF94AE0"/>
    <w:rsid w:val="5E167440"/>
    <w:rsid w:val="5E824AD5"/>
    <w:rsid w:val="5EE5031D"/>
    <w:rsid w:val="5F131BD1"/>
    <w:rsid w:val="60870181"/>
    <w:rsid w:val="61730705"/>
    <w:rsid w:val="61B63A4B"/>
    <w:rsid w:val="620D25E7"/>
    <w:rsid w:val="6211064A"/>
    <w:rsid w:val="62F51D1A"/>
    <w:rsid w:val="630C2F5E"/>
    <w:rsid w:val="63332842"/>
    <w:rsid w:val="637F7835"/>
    <w:rsid w:val="641D347A"/>
    <w:rsid w:val="64507A64"/>
    <w:rsid w:val="64AC465A"/>
    <w:rsid w:val="64EC0EFA"/>
    <w:rsid w:val="664060FD"/>
    <w:rsid w:val="67984046"/>
    <w:rsid w:val="67AA1CFB"/>
    <w:rsid w:val="680F6D79"/>
    <w:rsid w:val="683A2C65"/>
    <w:rsid w:val="690B56C7"/>
    <w:rsid w:val="69182864"/>
    <w:rsid w:val="691C6DB7"/>
    <w:rsid w:val="69E46644"/>
    <w:rsid w:val="6B3929BF"/>
    <w:rsid w:val="6BE7241B"/>
    <w:rsid w:val="6C6B115E"/>
    <w:rsid w:val="6CD96208"/>
    <w:rsid w:val="6D1A412B"/>
    <w:rsid w:val="6D2356D5"/>
    <w:rsid w:val="6D421C76"/>
    <w:rsid w:val="6F324FEC"/>
    <w:rsid w:val="6FF530D8"/>
    <w:rsid w:val="71C715AD"/>
    <w:rsid w:val="71CD0394"/>
    <w:rsid w:val="73920EBF"/>
    <w:rsid w:val="74035919"/>
    <w:rsid w:val="74082F2F"/>
    <w:rsid w:val="7423420D"/>
    <w:rsid w:val="749F1AE5"/>
    <w:rsid w:val="75267B11"/>
    <w:rsid w:val="75526B58"/>
    <w:rsid w:val="75CB4B5C"/>
    <w:rsid w:val="764A3ADC"/>
    <w:rsid w:val="779C230C"/>
    <w:rsid w:val="77F739E6"/>
    <w:rsid w:val="782556D1"/>
    <w:rsid w:val="78AC2A23"/>
    <w:rsid w:val="791800B8"/>
    <w:rsid w:val="796E3EF0"/>
    <w:rsid w:val="797846B3"/>
    <w:rsid w:val="799B65F3"/>
    <w:rsid w:val="7A1E34AC"/>
    <w:rsid w:val="7A235160"/>
    <w:rsid w:val="7A4647B1"/>
    <w:rsid w:val="7D00792A"/>
    <w:rsid w:val="7DB046EB"/>
    <w:rsid w:val="7DC4436B"/>
    <w:rsid w:val="7F0013D2"/>
    <w:rsid w:val="7F280963"/>
    <w:rsid w:val="7FCF5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9">
    <w:name w:val="Default Paragraph Font"/>
    <w:autoRedefine/>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autoRedefine/>
    <w:qFormat/>
    <w:uiPriority w:val="0"/>
    <w:pPr>
      <w:ind w:left="200" w:leftChars="200"/>
    </w:pPr>
  </w:style>
  <w:style w:type="paragraph" w:styleId="4">
    <w:name w:val="footer"/>
    <w:basedOn w:val="1"/>
    <w:link w:val="19"/>
    <w:autoRedefine/>
    <w:unhideWhenUsed/>
    <w:qFormat/>
    <w:uiPriority w:val="99"/>
    <w:pPr>
      <w:tabs>
        <w:tab w:val="center" w:pos="4153"/>
        <w:tab w:val="right" w:pos="8306"/>
      </w:tabs>
      <w:snapToGrid w:val="0"/>
      <w:jc w:val="left"/>
    </w:pPr>
    <w:rPr>
      <w:sz w:val="18"/>
      <w:szCs w:val="18"/>
    </w:rPr>
  </w:style>
  <w:style w:type="paragraph" w:styleId="5">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4"/>
    <w:basedOn w:val="1"/>
    <w:next w:val="1"/>
    <w:autoRedefine/>
    <w:qFormat/>
    <w:uiPriority w:val="0"/>
    <w:pPr>
      <w:ind w:left="1260"/>
    </w:p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autoRedefine/>
    <w:qFormat/>
    <w:uiPriority w:val="22"/>
    <w:rPr>
      <w:b/>
      <w:bCs/>
    </w:rPr>
  </w:style>
  <w:style w:type="character" w:styleId="11">
    <w:name w:val="FollowedHyperlink"/>
    <w:basedOn w:val="9"/>
    <w:autoRedefine/>
    <w:semiHidden/>
    <w:unhideWhenUsed/>
    <w:qFormat/>
    <w:uiPriority w:val="99"/>
    <w:rPr>
      <w:color w:val="333333"/>
      <w:u w:val="none"/>
    </w:rPr>
  </w:style>
  <w:style w:type="character" w:styleId="12">
    <w:name w:val="HTML Definition"/>
    <w:basedOn w:val="9"/>
    <w:autoRedefine/>
    <w:semiHidden/>
    <w:unhideWhenUsed/>
    <w:qFormat/>
    <w:uiPriority w:val="99"/>
  </w:style>
  <w:style w:type="character" w:styleId="13">
    <w:name w:val="HTML Acronym"/>
    <w:basedOn w:val="9"/>
    <w:autoRedefine/>
    <w:semiHidden/>
    <w:unhideWhenUsed/>
    <w:qFormat/>
    <w:uiPriority w:val="99"/>
  </w:style>
  <w:style w:type="character" w:styleId="14">
    <w:name w:val="HTML Variable"/>
    <w:basedOn w:val="9"/>
    <w:autoRedefine/>
    <w:semiHidden/>
    <w:unhideWhenUsed/>
    <w:qFormat/>
    <w:uiPriority w:val="99"/>
  </w:style>
  <w:style w:type="character" w:styleId="15">
    <w:name w:val="Hyperlink"/>
    <w:basedOn w:val="9"/>
    <w:autoRedefine/>
    <w:semiHidden/>
    <w:unhideWhenUsed/>
    <w:qFormat/>
    <w:uiPriority w:val="99"/>
    <w:rPr>
      <w:color w:val="333333"/>
      <w:u w:val="none"/>
    </w:rPr>
  </w:style>
  <w:style w:type="character" w:styleId="16">
    <w:name w:val="HTML Code"/>
    <w:basedOn w:val="9"/>
    <w:autoRedefine/>
    <w:semiHidden/>
    <w:unhideWhenUsed/>
    <w:qFormat/>
    <w:uiPriority w:val="99"/>
    <w:rPr>
      <w:rFonts w:ascii="Courier New" w:hAnsi="Courier New"/>
      <w:sz w:val="20"/>
    </w:rPr>
  </w:style>
  <w:style w:type="character" w:styleId="17">
    <w:name w:val="HTML Cite"/>
    <w:basedOn w:val="9"/>
    <w:autoRedefine/>
    <w:semiHidden/>
    <w:unhideWhenUsed/>
    <w:qFormat/>
    <w:uiPriority w:val="99"/>
  </w:style>
  <w:style w:type="character" w:customStyle="1" w:styleId="18">
    <w:name w:val="页眉 字符"/>
    <w:basedOn w:val="9"/>
    <w:link w:val="5"/>
    <w:autoRedefine/>
    <w:qFormat/>
    <w:uiPriority w:val="99"/>
    <w:rPr>
      <w:sz w:val="18"/>
      <w:szCs w:val="18"/>
    </w:rPr>
  </w:style>
  <w:style w:type="character" w:customStyle="1" w:styleId="19">
    <w:name w:val="页脚 字符"/>
    <w:basedOn w:val="9"/>
    <w:link w:val="4"/>
    <w:autoRedefine/>
    <w:qFormat/>
    <w:uiPriority w:val="99"/>
    <w:rPr>
      <w:sz w:val="18"/>
      <w:szCs w:val="18"/>
    </w:rPr>
  </w:style>
  <w:style w:type="character" w:customStyle="1" w:styleId="20">
    <w:name w:val="bjh-p"/>
    <w:autoRedefine/>
    <w:qFormat/>
    <w:uiPriority w:val="0"/>
  </w:style>
  <w:style w:type="paragraph" w:customStyle="1" w:styleId="21">
    <w:name w:val="List Paragraph"/>
    <w:basedOn w:val="1"/>
    <w:autoRedefine/>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jc w:val="both"/>
      <w:textAlignment w:val="auto"/>
      <w:outlineLvl w:val="9"/>
    </w:pPr>
    <w:rPr>
      <w:rFonts w:ascii="Calibri" w:hAnsi="Calibri" w:eastAsia="宋体"/>
      <w:snapToGrid/>
      <w:color w:val="auto"/>
      <w:spacing w:val="0"/>
      <w:w w:val="100"/>
      <w:kern w:val="2"/>
      <w:position w:val="0"/>
      <w:sz w:val="21"/>
      <w:szCs w:val="21"/>
      <w:u w:val="none" w:color="auto"/>
      <w:vertAlign w:val="baseline"/>
      <w:lang w:val="en-US" w:eastAsia="zh-CN"/>
    </w:rPr>
  </w:style>
  <w:style w:type="character" w:customStyle="1" w:styleId="22">
    <w:name w:val="active&gt;i"/>
    <w:basedOn w:val="9"/>
    <w:autoRedefine/>
    <w:qFormat/>
    <w:uiPriority w:val="0"/>
  </w:style>
  <w:style w:type="character" w:customStyle="1" w:styleId="23">
    <w:name w:val="on"/>
    <w:basedOn w:val="9"/>
    <w:autoRedefine/>
    <w:qFormat/>
    <w:uiPriority w:val="0"/>
    <w:rPr>
      <w:b/>
      <w:bCs/>
      <w:color w:val="015293"/>
    </w:rPr>
  </w:style>
  <w:style w:type="character" w:customStyle="1" w:styleId="24">
    <w:name w:val="on1"/>
    <w:basedOn w:val="9"/>
    <w:autoRedefine/>
    <w:qFormat/>
    <w:uiPriority w:val="0"/>
    <w:rPr>
      <w:color w:val="FFFFFF"/>
      <w:shd w:val="clear" w:fill="0B67A6"/>
    </w:rPr>
  </w:style>
  <w:style w:type="character" w:customStyle="1" w:styleId="25">
    <w:name w:val="bg02"/>
    <w:basedOn w:val="9"/>
    <w:autoRedefine/>
    <w:qFormat/>
    <w:uiPriority w:val="0"/>
  </w:style>
  <w:style w:type="character" w:customStyle="1" w:styleId="26">
    <w:name w:val="tabg"/>
    <w:basedOn w:val="9"/>
    <w:autoRedefine/>
    <w:qFormat/>
    <w:uiPriority w:val="0"/>
    <w:rPr>
      <w:color w:val="FFFFFF"/>
      <w:sz w:val="18"/>
      <w:szCs w:val="18"/>
    </w:rPr>
  </w:style>
  <w:style w:type="character" w:customStyle="1" w:styleId="27">
    <w:name w:val="bg01"/>
    <w:basedOn w:val="9"/>
    <w:autoRedefine/>
    <w:qFormat/>
    <w:uiPriority w:val="0"/>
  </w:style>
  <w:style w:type="character" w:customStyle="1" w:styleId="28">
    <w:name w:val="hover3"/>
    <w:basedOn w:val="9"/>
    <w:autoRedefine/>
    <w:qFormat/>
    <w:uiPriority w:val="0"/>
    <w:rPr>
      <w:color w:val="015293"/>
    </w:rPr>
  </w:style>
  <w:style w:type="character" w:customStyle="1" w:styleId="29">
    <w:name w:val="on2"/>
    <w:basedOn w:val="9"/>
    <w:autoRedefine/>
    <w:qFormat/>
    <w:uiPriority w:val="0"/>
    <w:rPr>
      <w:color w:val="FFFFFF"/>
      <w:shd w:val="clear" w:fill="0B67A6"/>
    </w:rPr>
  </w:style>
  <w:style w:type="character" w:customStyle="1" w:styleId="30">
    <w:name w:val="hover"/>
    <w:basedOn w:val="9"/>
    <w:autoRedefine/>
    <w:qFormat/>
    <w:uiPriority w:val="0"/>
    <w:rPr>
      <w:color w:val="015293"/>
    </w:rPr>
  </w:style>
  <w:style w:type="character" w:customStyle="1" w:styleId="31">
    <w:name w:val="on3"/>
    <w:basedOn w:val="9"/>
    <w:autoRedefine/>
    <w:qFormat/>
    <w:uiPriority w:val="0"/>
    <w:rPr>
      <w:b/>
      <w:bCs/>
      <w:color w:val="015293"/>
    </w:rPr>
  </w:style>
  <w:style w:type="character" w:customStyle="1" w:styleId="32">
    <w:name w:val="gwds_nopic"/>
    <w:basedOn w:val="9"/>
    <w:autoRedefine/>
    <w:qFormat/>
    <w:uiPriority w:val="0"/>
  </w:style>
  <w:style w:type="character" w:customStyle="1" w:styleId="33">
    <w:name w:val="gwds_nopic1"/>
    <w:basedOn w:val="9"/>
    <w:autoRedefine/>
    <w:qFormat/>
    <w:uiPriority w:val="0"/>
  </w:style>
  <w:style w:type="character" w:customStyle="1" w:styleId="34">
    <w:name w:val="gwds_nopic2"/>
    <w:basedOn w:val="9"/>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0B904D-027D-43D1-B6E8-9EB3F9FED20F}">
  <ds:schemaRefs/>
</ds:datastoreItem>
</file>

<file path=docProps/app.xml><?xml version="1.0" encoding="utf-8"?>
<Properties xmlns="http://schemas.openxmlformats.org/officeDocument/2006/extended-properties" xmlns:vt="http://schemas.openxmlformats.org/officeDocument/2006/docPropsVTypes">
  <Template>Normal</Template>
  <Pages>7</Pages>
  <Words>568</Words>
  <Characters>3241</Characters>
  <Lines>27</Lines>
  <Paragraphs>7</Paragraphs>
  <TotalTime>8</TotalTime>
  <ScaleCrop>false</ScaleCrop>
  <LinksUpToDate>false</LinksUpToDate>
  <CharactersWithSpaces>3802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2021-12-29T02:42:00Z</dcterms:created>
  <dc:creator>admin</dc:creator>
  <cp:lastModifiedBy>博鸿</cp:lastModifiedBy>
  <cp:lastPrinted>2024-01-16T08:49:00Z</cp:lastPrinted>
  <dcterms:modified xsi:type="dcterms:W3CDTF">2024-01-17T01:58:00Z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37F081EA57274010B7F1E7E7E0048BC9_13</vt:lpwstr>
  </property>
</Properties>
</file>