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491B2">
      <w:pPr>
        <w:adjustRightInd w:val="0"/>
        <w:snapToGrid w:val="0"/>
        <w:spacing w:line="590" w:lineRule="exact"/>
        <w:rPr>
          <w:rFonts w:ascii="Times New Roman" w:eastAsia="方正黑体_GBK" w:cs="方正黑体_GBK"/>
          <w:sz w:val="32"/>
          <w:szCs w:val="32"/>
        </w:rPr>
      </w:pPr>
      <w:r>
        <w:rPr>
          <w:rFonts w:hint="eastAsia" w:ascii="Times New Roman" w:eastAsia="方正黑体_GBK" w:cs="方正黑体_GBK"/>
          <w:sz w:val="32"/>
          <w:szCs w:val="32"/>
        </w:rPr>
        <w:t>附件1</w:t>
      </w:r>
    </w:p>
    <w:p w14:paraId="4F2624E4">
      <w:pPr>
        <w:adjustRightInd w:val="0"/>
        <w:snapToGrid w:val="0"/>
        <w:spacing w:line="590" w:lineRule="exact"/>
        <w:jc w:val="center"/>
        <w:rPr>
          <w:rFonts w:ascii="Times New Roman" w:eastAsia="方正小标宋_GBK" w:cs="方正小标宋_GBK"/>
          <w:color w:val="333333"/>
          <w:sz w:val="44"/>
          <w:szCs w:val="44"/>
        </w:rPr>
      </w:pPr>
      <w:r>
        <w:rPr>
          <w:rFonts w:hint="eastAsia" w:ascii="Times New Roman" w:eastAsia="方正小标宋_GBK" w:cs="方正小标宋_GBK"/>
          <w:color w:val="333333"/>
          <w:sz w:val="44"/>
          <w:szCs w:val="44"/>
        </w:rPr>
        <w:t>江苏省药品批发企业多仓协同</w:t>
      </w:r>
    </w:p>
    <w:p w14:paraId="056226C2">
      <w:pPr>
        <w:adjustRightInd w:val="0"/>
        <w:snapToGrid w:val="0"/>
        <w:spacing w:line="590" w:lineRule="exact"/>
        <w:jc w:val="center"/>
        <w:rPr>
          <w:rFonts w:ascii="Times New Roman" w:eastAsia="方正小标宋_GBK" w:cs="方正小标宋_GBK"/>
          <w:color w:val="333333"/>
          <w:sz w:val="44"/>
          <w:szCs w:val="44"/>
        </w:rPr>
      </w:pPr>
      <w:r>
        <w:rPr>
          <w:rFonts w:hint="eastAsia" w:ascii="Times New Roman" w:eastAsia="方正小标宋_GBK" w:cs="方正小标宋_GBK"/>
          <w:color w:val="333333"/>
          <w:sz w:val="44"/>
          <w:szCs w:val="44"/>
        </w:rPr>
        <w:t>一体化管理办法</w:t>
      </w:r>
    </w:p>
    <w:p w14:paraId="2175917B">
      <w:pPr>
        <w:adjustRightInd w:val="0"/>
        <w:snapToGrid w:val="0"/>
        <w:spacing w:line="590" w:lineRule="exact"/>
        <w:jc w:val="center"/>
        <w:rPr>
          <w:rFonts w:ascii="Times New Roman" w:eastAsia="方正楷体_GBK" w:cs="方正楷体_GBK"/>
          <w:color w:val="333333"/>
          <w:sz w:val="32"/>
          <w:szCs w:val="32"/>
        </w:rPr>
      </w:pPr>
      <w:r>
        <w:rPr>
          <w:rFonts w:hint="eastAsia" w:ascii="Times New Roman" w:eastAsia="方正楷体_GBK" w:cs="方正楷体_GBK"/>
          <w:color w:val="333333"/>
          <w:sz w:val="32"/>
          <w:szCs w:val="32"/>
        </w:rPr>
        <w:t xml:space="preserve">（征求意见稿） </w:t>
      </w:r>
    </w:p>
    <w:p w14:paraId="365AED95">
      <w:pPr>
        <w:adjustRightInd w:val="0"/>
        <w:snapToGrid w:val="0"/>
        <w:spacing w:line="590" w:lineRule="exact"/>
        <w:ind w:firstLine="640" w:firstLineChars="200"/>
        <w:rPr>
          <w:rFonts w:ascii="Times New Roman" w:eastAsia="方正仿宋_GBK" w:cs="方正仿宋_GBK"/>
          <w:b/>
          <w:bCs/>
          <w:color w:val="333333"/>
          <w:sz w:val="32"/>
          <w:szCs w:val="32"/>
        </w:rPr>
      </w:pPr>
    </w:p>
    <w:p w14:paraId="5959350F">
      <w:pPr>
        <w:adjustRightInd w:val="0"/>
        <w:snapToGrid w:val="0"/>
        <w:spacing w:line="590" w:lineRule="exact"/>
        <w:jc w:val="center"/>
        <w:rPr>
          <w:rFonts w:ascii="Times New Roman" w:eastAsia="方正黑体_GBK" w:cs="方正黑体_GBK"/>
          <w:color w:val="333333"/>
          <w:sz w:val="32"/>
          <w:szCs w:val="32"/>
        </w:rPr>
      </w:pPr>
      <w:r>
        <w:rPr>
          <w:rFonts w:hint="eastAsia" w:ascii="Times New Roman" w:eastAsia="方正黑体_GBK" w:cs="方正黑体_GBK"/>
          <w:color w:val="333333"/>
          <w:sz w:val="32"/>
          <w:szCs w:val="32"/>
        </w:rPr>
        <w:t>第一章 总则</w:t>
      </w:r>
    </w:p>
    <w:p w14:paraId="4E5568AD">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第一条</w:t>
      </w:r>
      <w:r>
        <w:rPr>
          <w:rFonts w:hint="eastAsia" w:ascii="Times New Roman" w:eastAsia="方正仿宋_GBK" w:cs="方正仿宋_GBK"/>
          <w:color w:val="333333"/>
          <w:sz w:val="32"/>
          <w:szCs w:val="32"/>
        </w:rPr>
        <w:t xml:space="preserve"> 为贯彻落实《国务院办公厅关于全面深化药品医疗器械监管改革促进医药产业高质量发展的意见》（国办发〔2024〕53 号） 和《省政府办公厅印发关于全面推进药品医疗器械监管深层次改革促进医药产业高质量发展若干政策措施的通知》（苏政办规 〔2025〕4 号），支持集团型药品批发企业有效整合仓储运输资源，促进企业降本增效，推动医药现代物流和药品流通行业高质量发展，构建符合江苏省发展实际的多仓协同物流管理模式和监管体系，根据《中华人民共和国药品管理法》《药品经营和使用质量监督管理办法》《药品经营质量管理规范》等 法律法规规章，制定本办法。</w:t>
      </w:r>
    </w:p>
    <w:p w14:paraId="3D9D81B9">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第二条</w:t>
      </w:r>
      <w:r>
        <w:rPr>
          <w:rFonts w:hint="eastAsia" w:ascii="Times New Roman" w:eastAsia="方正仿宋_GBK" w:cs="方正仿宋_GBK"/>
          <w:color w:val="333333"/>
          <w:sz w:val="32"/>
          <w:szCs w:val="32"/>
        </w:rPr>
        <w:t xml:space="preserve"> 江苏省内药品多仓协同一体化质量管理及监督管理工作，应遵守本办法。</w:t>
      </w:r>
    </w:p>
    <w:p w14:paraId="5E867DFB">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第三条</w:t>
      </w:r>
      <w:r>
        <w:rPr>
          <w:rFonts w:hint="eastAsia" w:ascii="Times New Roman" w:eastAsia="方正仿宋_GBK" w:cs="方正仿宋_GBK"/>
          <w:color w:val="333333"/>
          <w:sz w:val="32"/>
          <w:szCs w:val="32"/>
        </w:rPr>
        <w:t xml:space="preserve"> 本办法所称药品多仓协同一体化管理，是指在江苏省集团型药品流通企业内，以满足第三方药品现代物流要求的 1 家药品批发企业为主体，集团内其他药品批发企业（分公司、全资或控股子公司）参与，依托信息化手段实施统一管理，共同享有仓储、运输、人员、 信息等资源，协同开展药品储存、配送活动。 药品多仓协同一体化管理中，主体企业统称为主体方，参与企业统称为协同方。参加多仓协同一体化管理的仓库仅限于主体方和协同方的自营仓库、共用仓库。</w:t>
      </w:r>
    </w:p>
    <w:p w14:paraId="689BF5F9">
      <w:pPr>
        <w:adjustRightInd w:val="0"/>
        <w:snapToGrid w:val="0"/>
        <w:spacing w:line="590" w:lineRule="exact"/>
        <w:ind w:firstLine="640" w:firstLineChars="200"/>
        <w:rPr>
          <w:rFonts w:ascii="Times New Roman" w:eastAsia="方正仿宋_GBK" w:cs="方正仿宋_GBK"/>
          <w:b/>
          <w:bCs/>
          <w:color w:val="333333"/>
          <w:sz w:val="32"/>
          <w:szCs w:val="32"/>
        </w:rPr>
      </w:pPr>
    </w:p>
    <w:p w14:paraId="423851F6">
      <w:pPr>
        <w:adjustRightInd w:val="0"/>
        <w:snapToGrid w:val="0"/>
        <w:spacing w:line="590" w:lineRule="exact"/>
        <w:jc w:val="center"/>
        <w:rPr>
          <w:rFonts w:ascii="Times New Roman" w:eastAsia="方正仿宋_GBK" w:cs="方正仿宋_GBK"/>
          <w:b/>
          <w:bCs/>
          <w:color w:val="EE0000"/>
          <w:sz w:val="32"/>
          <w:szCs w:val="32"/>
        </w:rPr>
      </w:pPr>
      <w:bookmarkStart w:id="1" w:name="_GoBack"/>
      <w:r>
        <w:rPr>
          <w:rFonts w:hint="eastAsia" w:ascii="Times New Roman" w:eastAsia="方正黑体_GBK" w:cs="方正黑体_GBK"/>
          <w:color w:val="333333"/>
          <w:sz w:val="32"/>
          <w:szCs w:val="32"/>
        </w:rPr>
        <w:t>第二章 总体要求</w:t>
      </w:r>
    </w:p>
    <w:bookmarkEnd w:id="1"/>
    <w:p w14:paraId="05AD118E">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第四条</w:t>
      </w:r>
      <w:r>
        <w:rPr>
          <w:rFonts w:hint="eastAsia" w:ascii="Times New Roman" w:eastAsia="方正仿宋_GBK" w:cs="方正仿宋_GBK"/>
          <w:color w:val="333333"/>
          <w:sz w:val="32"/>
          <w:szCs w:val="32"/>
        </w:rPr>
        <w:t xml:space="preserve"> 具备以下条件的药品批发企业，可以申请开展多仓协同一体化管理业务：</w:t>
      </w:r>
    </w:p>
    <w:p w14:paraId="5B871720">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（一）开展药品多仓协同一体化管理业务应当为江苏省集团型药品流通企业内唯一主体方及两个以上协同方组成。</w:t>
      </w:r>
    </w:p>
    <w:p w14:paraId="688F1CB6">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（二）主体方和协同方，均应为取得《药品经营许可证》的药品批发企业。</w:t>
      </w:r>
    </w:p>
    <w:p w14:paraId="554D5625">
      <w:pPr>
        <w:adjustRightInd w:val="0"/>
        <w:snapToGrid w:val="0"/>
        <w:spacing w:line="590" w:lineRule="exact"/>
        <w:ind w:firstLine="640" w:firstLineChars="200"/>
        <w:rPr>
          <w:rFonts w:ascii="Times New Roman" w:eastAsia="方正仿宋_GBK" w:cs="方正仿宋_GBK"/>
          <w:color w:val="EE0000"/>
          <w:sz w:val="32"/>
          <w:szCs w:val="32"/>
        </w:rPr>
      </w:pPr>
      <w:r>
        <w:rPr>
          <w:rFonts w:hint="eastAsia" w:ascii="Times New Roman" w:eastAsia="方正仿宋_GBK" w:cs="方正仿宋_GBK"/>
          <w:color w:val="333333"/>
          <w:sz w:val="32"/>
          <w:szCs w:val="32"/>
        </w:rPr>
        <w:t>（三）主体方药品仓库应为企业自营仓库，同时应符合国家、省有关药品现代物流要求和江苏省药品委托储存评估指南要求。</w:t>
      </w:r>
      <w:r>
        <w:rPr>
          <w:rFonts w:hint="eastAsia" w:ascii="Times New Roman" w:eastAsia="方正仿宋_GBK" w:cs="方正仿宋_GBK"/>
          <w:color w:val="EE0000"/>
          <w:sz w:val="32"/>
          <w:szCs w:val="32"/>
        </w:rPr>
        <w:t xml:space="preserve"> </w:t>
      </w:r>
    </w:p>
    <w:p w14:paraId="12EEB617">
      <w:pPr>
        <w:adjustRightInd w:val="0"/>
        <w:snapToGrid w:val="0"/>
        <w:spacing w:line="590" w:lineRule="exact"/>
        <w:ind w:firstLine="640" w:firstLineChars="200"/>
        <w:rPr>
          <w:rFonts w:ascii="Times New Roman" w:eastAsia="方正仿宋_GBK" w:cs="方正仿宋_GBK"/>
          <w:color w:val="EE0000"/>
          <w:sz w:val="32"/>
          <w:szCs w:val="32"/>
        </w:rPr>
      </w:pPr>
      <w:r>
        <w:rPr>
          <w:rFonts w:hint="eastAsia" w:ascii="Times New Roman" w:eastAsia="方正仿宋_GBK" w:cs="方正仿宋_GBK"/>
          <w:color w:val="333333"/>
          <w:sz w:val="32"/>
          <w:szCs w:val="32"/>
        </w:rPr>
        <w:t>（四）具有统一的多仓协同一体化计算机信息管理平台，可实现多货主多物流中心统一管理，覆盖药品多仓协同业务及质量管理全过程。</w:t>
      </w:r>
    </w:p>
    <w:p w14:paraId="6ACC525D">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（五）具有统一的覆盖药品储运环节的质量管理体系，保证药品多仓协同业务运行全过程质量管控标准、基础数据管理、质量检查指导的一致性。</w:t>
      </w:r>
    </w:p>
    <w:p w14:paraId="3B80BAF6">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 xml:space="preserve">（六）具有物流管理机构和相应的管理团队，配备物流、计算机 管理等专业人员，能有效行使与多仓协同一体化管理模式相适应的物流管理、信息管理、运营管理、追溯管理等职能，保证药品多仓协同业务全过程统一作业标准、统一数据管理、统一调度指挥。 </w:t>
      </w:r>
    </w:p>
    <w:p w14:paraId="54914EE6">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 xml:space="preserve">（七）具备与经营品种及其储存配送品种相适应的药品信息化追溯能力，保证实现全品种全环节追溯要求。 </w:t>
      </w:r>
    </w:p>
    <w:p w14:paraId="658CBE18">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第五条</w:t>
      </w:r>
      <w:r>
        <w:rPr>
          <w:rFonts w:hint="eastAsia" w:ascii="Times New Roman" w:eastAsia="方正仿宋_GBK" w:cs="方正仿宋_GBK"/>
          <w:color w:val="333333"/>
          <w:sz w:val="32"/>
          <w:szCs w:val="32"/>
        </w:rPr>
        <w:t xml:space="preserve"> 药品多仓协同一体化管理企业的主体方应当与协同方签订药品多仓协同业务协议，明确多仓协同业务范围、职责分工、操作要求、质量责任、质量问题处理程序、沟通反馈机制与应急预案等内容。</w:t>
      </w:r>
    </w:p>
    <w:p w14:paraId="6365982D">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第六条</w:t>
      </w:r>
      <w:r>
        <w:rPr>
          <w:rFonts w:hint="eastAsia" w:ascii="Times New Roman" w:eastAsia="方正仿宋_GBK" w:cs="方正仿宋_GBK"/>
          <w:color w:val="333333"/>
          <w:sz w:val="32"/>
          <w:szCs w:val="32"/>
        </w:rPr>
        <w:t xml:space="preserve">  主体方和协同方已被批准接受集团外企业委托储存药品的， 受托药品仅限于储存在原批准仓库地址，未经许可不得使用本集团内协同仓库。主体方和协同方已被批准作为外省企业协同方的，该外省企业多仓协同药品仅限于储存在该试点企业原仓库地址（即外省企业许可证载明仓库地址），不得使用本集团内协同仓库。已纳入多仓协同一体化管理的药品批发企业，涉及集团内仓储共享的，统一按照多仓协同模式规范管理。</w:t>
      </w:r>
    </w:p>
    <w:p w14:paraId="4B8BE10C">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第七条</w:t>
      </w:r>
      <w:r>
        <w:rPr>
          <w:rFonts w:hint="eastAsia" w:ascii="Times New Roman" w:eastAsia="方正仿宋_GBK" w:cs="方正仿宋_GBK"/>
          <w:color w:val="333333"/>
          <w:sz w:val="32"/>
          <w:szCs w:val="32"/>
        </w:rPr>
        <w:t xml:space="preserve"> 麻醉药品、精神药品、医疗用毒性药品、放射性药品、药品 类易制毒化学品等特殊药品和疫苗不得开展多仓协同一体化储运。</w:t>
      </w:r>
    </w:p>
    <w:p w14:paraId="50455603">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第八条</w:t>
      </w:r>
      <w:r>
        <w:rPr>
          <w:rFonts w:hint="eastAsia" w:ascii="Times New Roman" w:eastAsia="方正仿宋_GBK" w:cs="方正仿宋_GBK"/>
          <w:color w:val="333333"/>
          <w:sz w:val="32"/>
          <w:szCs w:val="32"/>
        </w:rPr>
        <w:t xml:space="preserve"> 主体方和协同方经营的药品，可以根据实际需要在任一参与多仓协同一体化管理企业符合条件的仓库中进行收货、验收、 储存以及相应配送活动。销售退回的药品应退回至原发货仓库，按规定进行退货验收。通过多仓协同一体化储存配送的药品不得超出拟储存仓库方的经营范围。 </w:t>
      </w:r>
    </w:p>
    <w:p w14:paraId="0F0183F7">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第九条</w:t>
      </w:r>
      <w:r>
        <w:rPr>
          <w:rFonts w:hint="eastAsia" w:ascii="Times New Roman" w:eastAsia="方正仿宋_GBK" w:cs="方正仿宋_GBK"/>
          <w:color w:val="333333"/>
          <w:sz w:val="32"/>
          <w:szCs w:val="32"/>
        </w:rPr>
        <w:t xml:space="preserve"> 主体方和协同方之间在同一仓库内进行药品货权转移时，可免于药品实物的出库复核及收货验收，但相关记录需体现在计算机信息系统中，并标明多仓协同一体化仓库内货权转移，确保药品货权明晰和流向可追溯。在库药品在主体方和协同方各仓库之间移库时，可简化验收操作，免予抽样。发现包装破损以及冷链药品运输过程温度不符合药品运输温度要求等异常情况时，应由现场质量人员审核后报货权企业确认，按照货权企业的确认意见或要求进行处置。 </w:t>
      </w:r>
    </w:p>
    <w:p w14:paraId="48304A29">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第十条</w:t>
      </w:r>
      <w:r>
        <w:rPr>
          <w:rFonts w:hint="eastAsia" w:ascii="Times New Roman" w:eastAsia="方正仿宋_GBK" w:cs="方正仿宋_GBK"/>
          <w:color w:val="333333"/>
          <w:sz w:val="32"/>
          <w:szCs w:val="32"/>
        </w:rPr>
        <w:t xml:space="preserve"> 多仓协同一体化计算机信息管理平台应当满足国家药品现代物流企业信息管理系统的要求，具有药品质量实时管控及确认、基础数据管控、操作记录查询、订单指令传输、质量风险预警、仓储管理及查询等功能，实现各试点企业系统之间的数据实时准确对接、交互、可追溯。货主方能通过平台下达出入库指令，并实时查询收货、验收、储存、养护、出库、运输、客户签收、退回、不合格等多仓协同全过程状态及历史质量记录。 </w:t>
      </w:r>
    </w:p>
    <w:p w14:paraId="7F99DFE8">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第十一条</w:t>
      </w:r>
      <w:r>
        <w:rPr>
          <w:rFonts w:hint="eastAsia" w:ascii="Times New Roman" w:eastAsia="方正仿宋_GBK" w:cs="方正仿宋_GBK"/>
          <w:color w:val="333333"/>
          <w:sz w:val="32"/>
          <w:szCs w:val="32"/>
        </w:rPr>
        <w:t xml:space="preserve"> 主体方和协同方应实行药品全品种、全环节追溯，需做好所 有在售药品出入库（包括销售退回、采购退出）追溯码扫码及复核工作，并及时上传追溯信息，确保药品流向来源清晰、去向可追。应通过利用新技术新方法支持多码合一、多追溯系统合一等方式，提升库位管理、零货拣选、出库复核等环节的管理效率， 提升企业质量管理水平。</w:t>
      </w:r>
    </w:p>
    <w:p w14:paraId="4D2FBF64">
      <w:pPr>
        <w:adjustRightInd w:val="0"/>
        <w:snapToGrid w:val="0"/>
        <w:spacing w:line="590" w:lineRule="exact"/>
        <w:jc w:val="center"/>
        <w:rPr>
          <w:rFonts w:ascii="Times New Roman" w:eastAsia="方正仿宋_GBK" w:cs="方正仿宋_GBK"/>
          <w:b/>
          <w:bCs/>
          <w:color w:val="333333"/>
          <w:sz w:val="32"/>
          <w:szCs w:val="32"/>
        </w:rPr>
      </w:pPr>
      <w:r>
        <w:rPr>
          <w:rFonts w:hint="eastAsia" w:ascii="Times New Roman" w:eastAsia="方正黑体_GBK" w:cs="方正黑体_GBK"/>
          <w:color w:val="333333"/>
          <w:sz w:val="32"/>
          <w:szCs w:val="32"/>
        </w:rPr>
        <w:t>第三章 企业责任</w:t>
      </w:r>
    </w:p>
    <w:p w14:paraId="3BCE3FC3">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 xml:space="preserve">第十二条 </w:t>
      </w:r>
      <w:r>
        <w:rPr>
          <w:rFonts w:hint="eastAsia" w:ascii="Times New Roman" w:eastAsia="方正仿宋_GBK" w:cs="方正仿宋_GBK"/>
          <w:color w:val="333333"/>
          <w:sz w:val="32"/>
          <w:szCs w:val="32"/>
        </w:rPr>
        <w:t>药品多仓协同一体化管理企业的主体方和协同方应当严格执行《中华人民共和国药品管理法》《药品经营和使用质量监督管理办法》《药品经营质量管理规范》等法律法规及标准规范，落实企业责任，建立质量管理体系、建立多仓协同应急机制，确保多仓协同一体化管理过程中药品质量安全。</w:t>
      </w:r>
    </w:p>
    <w:p w14:paraId="7270ECE9">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第十三条</w:t>
      </w:r>
      <w:r>
        <w:rPr>
          <w:rFonts w:hint="eastAsia" w:ascii="Times New Roman" w:eastAsia="方正仿宋_GBK" w:cs="方正仿宋_GBK"/>
          <w:color w:val="333333"/>
          <w:sz w:val="32"/>
          <w:szCs w:val="32"/>
        </w:rPr>
        <w:t xml:space="preserve"> 主体方应承担多仓协同一体化管理主要职责，对协同方仓库实施统一质量管理，同时应承担作为货主方的药品质量安全主体责任，并负责以下事项： </w:t>
      </w:r>
    </w:p>
    <w:p w14:paraId="713D9503">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（一）建立统一完善的质量管理体系，实现对协同方物流、质量、 信息等的一体化管理。建立包括质量管理、运营管理、流程监控、信息管理等内容的质量管理文件，并保持有效运行。</w:t>
      </w:r>
    </w:p>
    <w:p w14:paraId="628A835B">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 xml:space="preserve">（二）设立物流管理机构，配备与经营规模相适应的物流管理团队，人员资质应符合 GSP 要求，按一体化标准进行管理、培训及考核。 </w:t>
      </w:r>
    </w:p>
    <w:p w14:paraId="76DE3038">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 xml:space="preserve">（三）建立可实现多货主多物流中心统一管理的计算机信息管理平台，与协同方系统互联互通，对多仓协同业务进行统一信息化管理，不断优化仓储物流算法，提高物流效率及准确性，同时满足药品质量追溯管理要求。应组织开展计算机系统功能验证/确认，统一实施数据备份。        </w:t>
      </w:r>
    </w:p>
    <w:p w14:paraId="44ECBF57">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 xml:space="preserve">（四）建立统一的风险管控机制，主动梳理风险点，对协同仓库的贮存、运输、配送条件及质量保障能力等定期进行风险评估， 开展风险会商，保证药品在多仓协同一体化运行过程中风险持续可控，确保药品质量安全。 </w:t>
      </w:r>
    </w:p>
    <w:p w14:paraId="49755521">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 xml:space="preserve">（五）定期（每年至少 1 次）对多仓协同一体化管理运作情况进 行内审，必要时组织专项内审，对发现的问题隐患及时组织整改，不断完善质量管理体系。 </w:t>
      </w:r>
    </w:p>
    <w:p w14:paraId="354FBBBD">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第十四条</w:t>
      </w:r>
      <w:r>
        <w:rPr>
          <w:rFonts w:hint="eastAsia" w:ascii="Times New Roman" w:eastAsia="方正仿宋_GBK" w:cs="方正仿宋_GBK"/>
          <w:color w:val="333333"/>
          <w:sz w:val="32"/>
          <w:szCs w:val="32"/>
        </w:rPr>
        <w:t xml:space="preserve"> 协同方执行多仓协同一体化管理任务，同时应承担作为货主方的药品质量安全主体责任，并负责以下事项：</w:t>
      </w:r>
    </w:p>
    <w:p w14:paraId="4EE218F3">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（一）使用或对接主体方计算机信息系统，按照货主方指令及质量管理要求开展多仓协同一体化管理业务，承担药品储运过程质量管理责任。</w:t>
      </w:r>
    </w:p>
    <w:p w14:paraId="52E41391">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（二）配备与多仓协同一体化管理运行相适应的组织架构、人员等，发生变更前及时通知主体方。</w:t>
      </w:r>
    </w:p>
    <w:p w14:paraId="12CF9418">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（三）在配合主体方开展多仓协同一体化内审的同时，每年至少1次对本企业多仓协同一体化运行情况进行审计，及时向主体方反馈发现的问题隐患。</w:t>
      </w:r>
    </w:p>
    <w:p w14:paraId="40711E35">
      <w:pPr>
        <w:adjustRightInd w:val="0"/>
        <w:snapToGrid w:val="0"/>
        <w:spacing w:line="590" w:lineRule="exact"/>
        <w:ind w:firstLine="640" w:firstLineChars="200"/>
        <w:jc w:val="center"/>
        <w:rPr>
          <w:rFonts w:ascii="Times New Roman" w:eastAsia="方正黑体_GBK" w:cs="方正黑体_GBK"/>
          <w:color w:val="333333"/>
          <w:sz w:val="32"/>
          <w:szCs w:val="32"/>
        </w:rPr>
      </w:pPr>
    </w:p>
    <w:p w14:paraId="4EA0A7A7">
      <w:pPr>
        <w:adjustRightInd w:val="0"/>
        <w:snapToGrid w:val="0"/>
        <w:spacing w:line="590" w:lineRule="exact"/>
        <w:jc w:val="center"/>
        <w:rPr>
          <w:rFonts w:ascii="Times New Roman" w:eastAsia="方正仿宋_GBK" w:cs="方正仿宋_GBK"/>
          <w:b/>
          <w:bCs/>
          <w:color w:val="333333"/>
          <w:sz w:val="32"/>
          <w:szCs w:val="32"/>
        </w:rPr>
      </w:pPr>
      <w:r>
        <w:rPr>
          <w:rFonts w:hint="eastAsia" w:ascii="Times New Roman" w:eastAsia="方正黑体_GBK" w:cs="方正黑体_GBK"/>
          <w:color w:val="333333"/>
          <w:sz w:val="32"/>
          <w:szCs w:val="32"/>
        </w:rPr>
        <w:t>第四章 报告及变更</w:t>
      </w:r>
    </w:p>
    <w:p w14:paraId="044C87B1">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第十五条</w:t>
      </w:r>
      <w:r>
        <w:rPr>
          <w:rFonts w:hint="eastAsia" w:ascii="Times New Roman" w:eastAsia="方正仿宋_GBK" w:cs="方正仿宋_GBK"/>
          <w:color w:val="333333"/>
          <w:sz w:val="32"/>
          <w:szCs w:val="32"/>
        </w:rPr>
        <w:t xml:space="preserve"> 集团型药品流通企业首次开展药品多仓协同一体化管理模式一般由主体方牵头向所在地检查分局报告申请，主体方所在地检查分局商协同方所在地检查分局同意后，报省药品监督管理局。报告提交资料至少包括以下内容：</w:t>
      </w:r>
    </w:p>
    <w:p w14:paraId="06FE327F">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（一）开展药品多仓协同一体化管理模式的书面申请；</w:t>
      </w:r>
    </w:p>
    <w:p w14:paraId="60E3F785">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（二）主体方和协同方基本情况汇总表（见附表）。</w:t>
      </w:r>
    </w:p>
    <w:p w14:paraId="249B8ACD">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（三）主体方和所有协同方有关资质证照及仓库平面图。</w:t>
      </w:r>
    </w:p>
    <w:p w14:paraId="7E289A02">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（四）多仓协同一体化管理评估报告（多仓协同企业组织架构和管理团队情况，质量管理体系，物流管理体系，计算机信息管理系统情况，药品追溯管理情况）；</w:t>
      </w:r>
    </w:p>
    <w:p w14:paraId="76A94020">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（五）主体方与各协同方之间质量保证协议；</w:t>
      </w:r>
    </w:p>
    <w:p w14:paraId="560E0023">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（六）药品监督管理部门要求报告的其他情况及承诺声明。</w:t>
      </w:r>
    </w:p>
    <w:p w14:paraId="722829EF">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第十六条</w:t>
      </w:r>
      <w:r>
        <w:rPr>
          <w:rFonts w:hint="eastAsia" w:ascii="Times New Roman" w:eastAsia="方正仿宋_GBK" w:cs="方正仿宋_GBK"/>
          <w:color w:val="333333"/>
          <w:sz w:val="32"/>
          <w:szCs w:val="32"/>
        </w:rPr>
        <w:t xml:space="preserve"> 集团型药品流通企业发生以下药品多仓协同一体化管理模式变更情形的，应当由主体方牵头向所在地检查分局提交变更报告，主体方所在地检查分局商协同方所在地检查分局同意后，报省药品监督管理局。未经批准，不得擅自变更：</w:t>
      </w:r>
    </w:p>
    <w:p w14:paraId="09DDB342">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（一）增加或减少协同方的；</w:t>
      </w:r>
    </w:p>
    <w:p w14:paraId="1932A127">
      <w:pPr>
        <w:adjustRightInd w:val="0"/>
        <w:snapToGrid w:val="0"/>
        <w:spacing w:line="590" w:lineRule="exact"/>
        <w:ind w:firstLine="320" w:firstLineChars="1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（二）终止开展多仓协同一体化管理模式的。</w:t>
      </w:r>
    </w:p>
    <w:p w14:paraId="465D1528">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报告内容参照本办法第十五条提交相关变更资料。</w:t>
      </w:r>
    </w:p>
    <w:p w14:paraId="7C017E03">
      <w:pPr>
        <w:adjustRightInd w:val="0"/>
        <w:snapToGrid w:val="0"/>
        <w:spacing w:line="590" w:lineRule="exact"/>
        <w:ind w:firstLine="640" w:firstLineChars="200"/>
        <w:rPr>
          <w:rFonts w:ascii="Times New Roman" w:eastAsia="方正仿宋_GBK" w:cs="方正仿宋_GBK"/>
          <w:color w:val="A66500"/>
          <w:sz w:val="32"/>
          <w:szCs w:val="32"/>
          <w:u w:val="single"/>
        </w:rPr>
      </w:pPr>
      <w:r>
        <w:rPr>
          <w:rFonts w:hint="eastAsia" w:ascii="方正楷体_GBK" w:hAnsi="方正楷体_GBK" w:eastAsia="方正楷体_GBK" w:cs="方正楷体_GBK"/>
          <w:color w:val="333333"/>
          <w:sz w:val="32"/>
          <w:szCs w:val="32"/>
        </w:rPr>
        <w:t>第十七条</w:t>
      </w:r>
      <w:r>
        <w:rPr>
          <w:rFonts w:hint="eastAsia" w:ascii="Times New Roman" w:eastAsia="方正仿宋_GBK" w:cs="方正仿宋_GBK"/>
          <w:color w:val="333333"/>
          <w:sz w:val="32"/>
          <w:szCs w:val="32"/>
        </w:rPr>
        <w:t xml:space="preserve"> 省药品监督管理局收到报告材料后应当在10个工作日内进行资料审核。对首次开展多仓协同一体化管理业务的企业应当组织现场检查。补正材料、现场检查时间不计入工作时限。</w:t>
      </w:r>
    </w:p>
    <w:p w14:paraId="604C3B2A">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第十八条</w:t>
      </w:r>
      <w:r>
        <w:rPr>
          <w:rFonts w:hint="eastAsia" w:ascii="Times New Roman" w:eastAsia="方正仿宋_GBK" w:cs="方正仿宋_GBK"/>
          <w:color w:val="333333"/>
          <w:sz w:val="32"/>
          <w:szCs w:val="32"/>
        </w:rPr>
        <w:t xml:space="preserve"> 对首次报告及变更报告规定的报告事项，经资料审核或现场检查后，省药品监督管理局在官方网站发布公告，明确主体方及协同方企业名单。</w:t>
      </w:r>
    </w:p>
    <w:p w14:paraId="6786A0AF">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第十九条</w:t>
      </w:r>
      <w:r>
        <w:rPr>
          <w:rFonts w:hint="eastAsia" w:ascii="Times New Roman" w:eastAsia="方正仿宋_GBK" w:cs="方正仿宋_GBK"/>
          <w:color w:val="333333"/>
          <w:sz w:val="32"/>
          <w:szCs w:val="32"/>
        </w:rPr>
        <w:t xml:space="preserve"> 药品批发企业开展药品多仓协同一体化管理模式，根据省局在官网上发布的公告，按照变更仓库地址办理，未经许可的仓库地址不得协同储存、运输药品。</w:t>
      </w:r>
    </w:p>
    <w:p w14:paraId="32CF3F07">
      <w:pPr>
        <w:adjustRightInd w:val="0"/>
        <w:snapToGrid w:val="0"/>
        <w:spacing w:line="590" w:lineRule="exact"/>
        <w:ind w:firstLine="640" w:firstLineChars="200"/>
        <w:jc w:val="center"/>
        <w:rPr>
          <w:rFonts w:ascii="Times New Roman" w:eastAsia="方正黑体_GBK" w:cs="方正黑体_GBK"/>
          <w:color w:val="333333"/>
          <w:sz w:val="32"/>
          <w:szCs w:val="32"/>
        </w:rPr>
      </w:pPr>
    </w:p>
    <w:p w14:paraId="53B1C722">
      <w:pPr>
        <w:adjustRightInd w:val="0"/>
        <w:snapToGrid w:val="0"/>
        <w:spacing w:line="590" w:lineRule="exact"/>
        <w:jc w:val="center"/>
        <w:rPr>
          <w:rFonts w:ascii="Times New Roman" w:eastAsia="方正黑体_GBK" w:cs="方正黑体_GBK"/>
          <w:color w:val="333333"/>
          <w:sz w:val="32"/>
          <w:szCs w:val="32"/>
        </w:rPr>
      </w:pPr>
      <w:r>
        <w:rPr>
          <w:rFonts w:hint="eastAsia" w:ascii="Times New Roman" w:eastAsia="方正黑体_GBK" w:cs="方正黑体_GBK"/>
          <w:color w:val="333333"/>
          <w:sz w:val="32"/>
          <w:szCs w:val="32"/>
        </w:rPr>
        <w:t>第五章 监督管理</w:t>
      </w:r>
    </w:p>
    <w:p w14:paraId="66314A27">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第二十条</w:t>
      </w:r>
      <w:r>
        <w:rPr>
          <w:rFonts w:hint="eastAsia" w:ascii="Times New Roman" w:eastAsia="方正仿宋_GBK" w:cs="方正仿宋_GBK"/>
          <w:color w:val="333333"/>
          <w:sz w:val="32"/>
          <w:szCs w:val="32"/>
        </w:rPr>
        <w:t xml:space="preserve"> 省药品监督管理局负责全省药品多仓协同一体化的监督管理，建立健全多仓协同监督检查工作机制，督促相关企业切实履行主体职责，确保药品质量安全。</w:t>
      </w:r>
    </w:p>
    <w:p w14:paraId="0BF69C1A">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Times New Roman" w:eastAsia="方正仿宋_GBK" w:cs="方正仿宋_GBK"/>
          <w:color w:val="333333"/>
          <w:sz w:val="32"/>
          <w:szCs w:val="32"/>
        </w:rPr>
        <w:t>省局负责对首次开展多仓协同一体化业务的企业组织现场检查。省局检查分局负责药品多仓协同一体化企业的检查整改确认及日常监管。</w:t>
      </w:r>
    </w:p>
    <w:p w14:paraId="0ECF546F">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第二十一条</w:t>
      </w:r>
      <w:r>
        <w:rPr>
          <w:rFonts w:hint="eastAsia" w:ascii="Times New Roman" w:eastAsia="方正仿宋_GBK" w:cs="方正仿宋_GBK"/>
          <w:color w:val="333333"/>
          <w:sz w:val="32"/>
          <w:szCs w:val="32"/>
        </w:rPr>
        <w:t xml:space="preserve"> 对药品多仓协同一体化管理模式企业每年至少开展一次监督检查，必要时抽取至少1个协同方仓库开展延伸检查。</w:t>
      </w:r>
    </w:p>
    <w:p w14:paraId="42E6E8A3">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第二十二条</w:t>
      </w:r>
      <w:r>
        <w:rPr>
          <w:rFonts w:hint="eastAsia" w:ascii="Times New Roman" w:eastAsia="方正仿宋_GBK" w:cs="方正仿宋_GBK"/>
          <w:color w:val="333333"/>
          <w:sz w:val="32"/>
          <w:szCs w:val="32"/>
        </w:rPr>
        <w:t xml:space="preserve"> 主体方和协同方所在地省药品监督管理局检查分局、分中心结合日常监督检查、许可检查等，对主体方和协同方人员与培训、质量管理体系文件、设施设备、校准与验证、计算机系统、收货与验收、储存与养护、出库、运输与配送开展现场检查。</w:t>
      </w:r>
    </w:p>
    <w:p w14:paraId="2F77858A">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第二十三条</w:t>
      </w:r>
      <w:r>
        <w:rPr>
          <w:rFonts w:hint="eastAsia" w:ascii="Times New Roman" w:eastAsia="方正仿宋_GBK" w:cs="方正仿宋_GBK"/>
          <w:color w:val="333333"/>
          <w:sz w:val="32"/>
          <w:szCs w:val="32"/>
        </w:rPr>
        <w:t xml:space="preserve"> 根据监督检查情况，有证据证明可能存在药品质量安全隐患的，药品监督管理部门可以依法采取行政告诫、责任约谈、责令限期整改、责令暂停开展药品多仓协同一体化管理业务等措施；发现违法行为的，依据法律、法规对相关企业进行处理。</w:t>
      </w:r>
    </w:p>
    <w:p w14:paraId="174ACE2F">
      <w:pPr>
        <w:adjustRightInd w:val="0"/>
        <w:snapToGrid w:val="0"/>
        <w:spacing w:line="590" w:lineRule="exact"/>
        <w:ind w:firstLine="640" w:firstLineChars="200"/>
        <w:jc w:val="center"/>
        <w:rPr>
          <w:rFonts w:ascii="Times New Roman" w:eastAsia="方正黑体_GBK" w:cs="方正黑体_GBK"/>
          <w:color w:val="333333"/>
          <w:sz w:val="32"/>
          <w:szCs w:val="32"/>
        </w:rPr>
      </w:pPr>
    </w:p>
    <w:p w14:paraId="2BD4ACC1">
      <w:pPr>
        <w:adjustRightInd w:val="0"/>
        <w:snapToGrid w:val="0"/>
        <w:spacing w:line="590" w:lineRule="exact"/>
        <w:jc w:val="center"/>
        <w:rPr>
          <w:rFonts w:ascii="Times New Roman" w:eastAsia="方正黑体_GBK" w:cs="方正黑体_GBK"/>
          <w:color w:val="333333"/>
          <w:sz w:val="32"/>
          <w:szCs w:val="32"/>
        </w:rPr>
      </w:pPr>
      <w:r>
        <w:rPr>
          <w:rFonts w:hint="eastAsia" w:ascii="Times New Roman" w:eastAsia="方正黑体_GBK" w:cs="方正黑体_GBK"/>
          <w:color w:val="333333"/>
          <w:sz w:val="32"/>
          <w:szCs w:val="32"/>
        </w:rPr>
        <w:t>第六章 附 则</w:t>
      </w:r>
    </w:p>
    <w:p w14:paraId="18F42D20">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 xml:space="preserve">第二十四条 </w:t>
      </w:r>
      <w:r>
        <w:rPr>
          <w:rFonts w:hint="eastAsia" w:ascii="Times New Roman" w:eastAsia="方正仿宋_GBK" w:cs="方正仿宋_GBK"/>
          <w:color w:val="333333"/>
          <w:sz w:val="32"/>
          <w:szCs w:val="32"/>
        </w:rPr>
        <w:t>【办法解释】本办法由江苏省药品监督管理局负责解释。</w:t>
      </w:r>
    </w:p>
    <w:p w14:paraId="6A73E343">
      <w:pPr>
        <w:adjustRightInd w:val="0"/>
        <w:snapToGrid w:val="0"/>
        <w:spacing w:line="590" w:lineRule="exact"/>
        <w:ind w:firstLine="640" w:firstLineChars="200"/>
        <w:rPr>
          <w:rFonts w:ascii="Times New Roman" w:eastAsia="方正仿宋_GBK" w:cs="方正仿宋_GBK"/>
          <w:color w:val="333333"/>
          <w:sz w:val="32"/>
          <w:szCs w:val="32"/>
        </w:rPr>
      </w:pPr>
      <w:r>
        <w:rPr>
          <w:rFonts w:hint="eastAsia" w:ascii="方正楷体_GBK" w:hAnsi="方正楷体_GBK" w:eastAsia="方正楷体_GBK" w:cs="方正楷体_GBK"/>
          <w:color w:val="333333"/>
          <w:sz w:val="32"/>
          <w:szCs w:val="32"/>
        </w:rPr>
        <w:t xml:space="preserve">第二十五条 </w:t>
      </w:r>
      <w:r>
        <w:rPr>
          <w:rFonts w:hint="eastAsia" w:ascii="Times New Roman" w:eastAsia="方正仿宋_GBK" w:cs="方正仿宋_GBK"/>
          <w:color w:val="333333"/>
          <w:sz w:val="32"/>
          <w:szCs w:val="32"/>
        </w:rPr>
        <w:t>【实施时间】本办法自2027年  月  日起施行，有效期至2032年xx月xx日。法律、法规及规章或国家药品监督管理部门出台有关规定的，从其规定。</w:t>
      </w:r>
    </w:p>
    <w:p w14:paraId="7AE27BD8">
      <w:pPr>
        <w:rPr>
          <w:rFonts w:ascii="Times New Roman" w:eastAsia="微软雅黑" w:cs="微软雅黑"/>
          <w:color w:val="333333"/>
          <w:sz w:val="27"/>
          <w:szCs w:val="27"/>
        </w:rPr>
      </w:pPr>
    </w:p>
    <w:p w14:paraId="5DB60CFF">
      <w:pPr>
        <w:rPr>
          <w:rFonts w:ascii="Times New Roman" w:eastAsia="微软雅黑" w:cs="微软雅黑"/>
          <w:color w:val="333333"/>
          <w:sz w:val="27"/>
          <w:szCs w:val="27"/>
        </w:rPr>
      </w:pPr>
    </w:p>
    <w:p w14:paraId="2C1D7279">
      <w:pPr>
        <w:rPr>
          <w:rFonts w:ascii="Times New Roman" w:eastAsia="微软雅黑" w:cs="微软雅黑"/>
          <w:color w:val="333333"/>
          <w:sz w:val="27"/>
          <w:szCs w:val="27"/>
        </w:rPr>
      </w:pPr>
    </w:p>
    <w:p w14:paraId="00BD4BA6">
      <w:pPr>
        <w:rPr>
          <w:rFonts w:ascii="Times New Roman" w:eastAsia="微软雅黑" w:cs="微软雅黑"/>
          <w:color w:val="333333"/>
          <w:sz w:val="27"/>
          <w:szCs w:val="27"/>
        </w:rPr>
      </w:pPr>
    </w:p>
    <w:p w14:paraId="790BE1EA">
      <w:pPr>
        <w:rPr>
          <w:rFonts w:ascii="Times New Roman" w:eastAsia="微软雅黑" w:cs="微软雅黑"/>
          <w:color w:val="333333"/>
          <w:sz w:val="27"/>
          <w:szCs w:val="27"/>
        </w:rPr>
      </w:pPr>
    </w:p>
    <w:p w14:paraId="57E6BA34">
      <w:pPr>
        <w:rPr>
          <w:rFonts w:ascii="Times New Roman" w:eastAsia="微软雅黑" w:cs="微软雅黑"/>
          <w:color w:val="333333"/>
          <w:sz w:val="27"/>
          <w:szCs w:val="27"/>
        </w:rPr>
      </w:pPr>
    </w:p>
    <w:p w14:paraId="49824D5C">
      <w:pPr>
        <w:rPr>
          <w:rFonts w:ascii="Times New Roman" w:eastAsia="微软雅黑" w:cs="微软雅黑"/>
          <w:color w:val="333333"/>
          <w:sz w:val="27"/>
          <w:szCs w:val="27"/>
        </w:rPr>
      </w:pPr>
    </w:p>
    <w:p w14:paraId="26DE8E8D">
      <w:pPr>
        <w:rPr>
          <w:rFonts w:ascii="Times New Roman" w:eastAsia="微软雅黑" w:cs="微软雅黑"/>
          <w:color w:val="333333"/>
          <w:sz w:val="27"/>
          <w:szCs w:val="27"/>
        </w:rPr>
      </w:pPr>
    </w:p>
    <w:p w14:paraId="430F7FAE">
      <w:pPr>
        <w:rPr>
          <w:rFonts w:ascii="Times New Roman" w:eastAsia="微软雅黑" w:cs="微软雅黑"/>
          <w:color w:val="333333"/>
          <w:sz w:val="27"/>
          <w:szCs w:val="27"/>
        </w:rPr>
      </w:pPr>
    </w:p>
    <w:p w14:paraId="44A2027D">
      <w:pPr>
        <w:rPr>
          <w:rFonts w:ascii="Times New Roman" w:eastAsia="微软雅黑" w:cs="微软雅黑"/>
          <w:color w:val="333333"/>
          <w:sz w:val="27"/>
          <w:szCs w:val="27"/>
        </w:rPr>
      </w:pPr>
    </w:p>
    <w:p w14:paraId="16464BCE">
      <w:pPr>
        <w:rPr>
          <w:rFonts w:ascii="Times New Roman" w:eastAsia="微软雅黑" w:cs="微软雅黑"/>
          <w:color w:val="333333"/>
          <w:sz w:val="27"/>
          <w:szCs w:val="27"/>
        </w:rPr>
      </w:pPr>
    </w:p>
    <w:p w14:paraId="21D6E1DF">
      <w:pPr>
        <w:rPr>
          <w:rFonts w:ascii="Times New Roman" w:eastAsia="微软雅黑" w:cs="微软雅黑"/>
          <w:color w:val="333333"/>
          <w:sz w:val="27"/>
          <w:szCs w:val="27"/>
        </w:rPr>
      </w:pPr>
    </w:p>
    <w:p w14:paraId="4BA3FF27">
      <w:pPr>
        <w:rPr>
          <w:rFonts w:ascii="Times New Roman" w:eastAsia="微软雅黑" w:cs="微软雅黑"/>
          <w:color w:val="333333"/>
          <w:sz w:val="27"/>
          <w:szCs w:val="27"/>
        </w:rPr>
      </w:pPr>
    </w:p>
    <w:p w14:paraId="6D805E85">
      <w:pPr>
        <w:rPr>
          <w:rFonts w:ascii="Times New Roman" w:eastAsia="微软雅黑" w:cs="微软雅黑"/>
          <w:color w:val="333333"/>
          <w:sz w:val="27"/>
          <w:szCs w:val="27"/>
        </w:rPr>
      </w:pPr>
    </w:p>
    <w:p w14:paraId="70B70EF9">
      <w:pPr>
        <w:rPr>
          <w:rFonts w:ascii="Times New Roman" w:eastAsia="微软雅黑" w:cs="微软雅黑"/>
          <w:color w:val="333333"/>
          <w:sz w:val="27"/>
          <w:szCs w:val="27"/>
        </w:rPr>
        <w:sectPr>
          <w:pgSz w:w="11906" w:h="16838"/>
          <w:pgMar w:top="1640" w:right="1600" w:bottom="1500" w:left="1600" w:header="851" w:footer="992" w:gutter="0"/>
          <w:cols w:space="425" w:num="1"/>
          <w:docGrid w:type="lines" w:linePitch="312" w:charSpace="0"/>
        </w:sectPr>
      </w:pPr>
    </w:p>
    <w:p w14:paraId="39C64DA2">
      <w:pPr>
        <w:adjustRightInd w:val="0"/>
        <w:snapToGrid w:val="0"/>
        <w:spacing w:line="590" w:lineRule="exact"/>
        <w:rPr>
          <w:rFonts w:ascii="Times New Roman" w:eastAsia="方正黑体_GBK" w:cs="方正黑体_GBK"/>
          <w:color w:val="333333"/>
          <w:sz w:val="32"/>
          <w:szCs w:val="32"/>
        </w:rPr>
      </w:pPr>
      <w:r>
        <w:rPr>
          <w:rFonts w:hint="eastAsia" w:ascii="Times New Roman" w:eastAsia="方正黑体_GBK" w:cs="方正黑体_GBK"/>
          <w:color w:val="333333"/>
          <w:sz w:val="32"/>
          <w:szCs w:val="32"/>
        </w:rPr>
        <w:t>附表</w:t>
      </w:r>
    </w:p>
    <w:p w14:paraId="079D1E57">
      <w:pPr>
        <w:adjustRightInd w:val="0"/>
        <w:snapToGrid w:val="0"/>
        <w:spacing w:line="590" w:lineRule="exact"/>
        <w:rPr>
          <w:rFonts w:ascii="Times New Roman" w:eastAsia="方正黑体_GBK" w:cs="方正黑体_GBK"/>
          <w:color w:val="333333"/>
          <w:sz w:val="32"/>
          <w:szCs w:val="32"/>
        </w:rPr>
      </w:pPr>
    </w:p>
    <w:p w14:paraId="31A1A4F5">
      <w:pPr>
        <w:adjustRightInd w:val="0"/>
        <w:snapToGrid w:val="0"/>
        <w:spacing w:line="590" w:lineRule="exact"/>
        <w:jc w:val="center"/>
        <w:rPr>
          <w:rFonts w:ascii="Times New Roman" w:eastAsia="方正小标宋_GBK" w:cs="方正小标宋_GBK"/>
          <w:spacing w:val="5"/>
          <w:sz w:val="44"/>
          <w:szCs w:val="44"/>
        </w:rPr>
      </w:pPr>
      <w:r>
        <w:rPr>
          <w:rFonts w:hint="eastAsia" w:ascii="Times New Roman" w:eastAsia="方正小标宋_GBK" w:cs="方正小标宋_GBK"/>
          <w:spacing w:val="5"/>
          <w:sz w:val="44"/>
          <w:szCs w:val="44"/>
        </w:rPr>
        <w:t>江苏省药品批发企业集团内药品多仓协同</w:t>
      </w:r>
    </w:p>
    <w:p w14:paraId="21420B12">
      <w:pPr>
        <w:adjustRightInd w:val="0"/>
        <w:snapToGrid w:val="0"/>
        <w:spacing w:line="590" w:lineRule="exact"/>
        <w:jc w:val="center"/>
        <w:rPr>
          <w:rFonts w:ascii="Times New Roman" w:eastAsia="方正小标宋_GBK" w:cs="方正小标宋_GBK"/>
          <w:spacing w:val="5"/>
          <w:sz w:val="44"/>
          <w:szCs w:val="44"/>
        </w:rPr>
      </w:pPr>
      <w:r>
        <w:rPr>
          <w:rFonts w:hint="eastAsia" w:ascii="Times New Roman" w:eastAsia="方正小标宋_GBK" w:cs="方正小标宋_GBK"/>
          <w:spacing w:val="5"/>
          <w:sz w:val="44"/>
          <w:szCs w:val="44"/>
        </w:rPr>
        <w:t>一体化管理企业基本情况汇总表（示例）</w:t>
      </w:r>
    </w:p>
    <w:p w14:paraId="7DAF70A0">
      <w:pPr>
        <w:adjustRightInd w:val="0"/>
        <w:snapToGrid w:val="0"/>
        <w:spacing w:line="590" w:lineRule="exact"/>
        <w:jc w:val="center"/>
        <w:rPr>
          <w:rFonts w:ascii="Times New Roman" w:eastAsia="方正小标宋_GBK" w:cs="方正小标宋_GBK"/>
          <w:spacing w:val="5"/>
          <w:sz w:val="44"/>
          <w:szCs w:val="44"/>
        </w:rPr>
      </w:pPr>
    </w:p>
    <w:p w14:paraId="4E80A814">
      <w:pPr>
        <w:snapToGrid w:val="0"/>
        <w:spacing w:line="590" w:lineRule="exact"/>
        <w:ind w:right="272" w:firstLine="280" w:firstLineChars="100"/>
        <w:rPr>
          <w:rFonts w:ascii="Times New Roman" w:eastAsia="方正黑体_GBK" w:cs="方正黑体_GBK"/>
          <w:spacing w:val="5"/>
          <w:sz w:val="28"/>
          <w:szCs w:val="28"/>
        </w:rPr>
      </w:pPr>
      <w:r>
        <w:rPr>
          <w:rFonts w:hint="eastAsia" w:ascii="Times New Roman" w:eastAsia="方正黑体_GBK" w:cs="方正黑体_GBK"/>
          <w:sz w:val="28"/>
          <w:szCs w:val="28"/>
        </w:rPr>
        <w:t>报告单位：</w:t>
      </w:r>
      <w:r>
        <w:rPr>
          <w:rFonts w:hint="eastAsia" w:ascii="Times New Roman" w:eastAsia="方正黑体_GBK" w:cs="方正黑体_GBK"/>
          <w:spacing w:val="5"/>
          <w:sz w:val="28"/>
          <w:szCs w:val="28"/>
          <w:u w:val="single"/>
        </w:rPr>
        <w:t xml:space="preserve">江苏XXX有限公司      </w:t>
      </w:r>
      <w:r>
        <w:rPr>
          <w:rFonts w:hint="eastAsia" w:ascii="Times New Roman" w:eastAsia="方正黑体_GBK" w:cs="方正黑体_GBK"/>
          <w:spacing w:val="5"/>
          <w:sz w:val="28"/>
          <w:szCs w:val="28"/>
        </w:rPr>
        <w:t>（加盖公章）                       填报时间：    年  月  日</w:t>
      </w:r>
    </w:p>
    <w:tbl>
      <w:tblPr>
        <w:tblStyle w:val="16"/>
        <w:tblW w:w="54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6" w:type="dxa"/>
          <w:left w:w="96" w:type="dxa"/>
          <w:bottom w:w="56" w:type="dxa"/>
          <w:right w:w="96" w:type="dxa"/>
        </w:tblCellMar>
      </w:tblPr>
      <w:tblGrid>
        <w:gridCol w:w="655"/>
        <w:gridCol w:w="1210"/>
        <w:gridCol w:w="814"/>
        <w:gridCol w:w="741"/>
        <w:gridCol w:w="727"/>
        <w:gridCol w:w="2368"/>
        <w:gridCol w:w="1845"/>
        <w:gridCol w:w="659"/>
      </w:tblGrid>
      <w:tr w14:paraId="05B6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927" w:hRule="atLeast"/>
          <w:tblHeader/>
          <w:jc w:val="center"/>
        </w:trPr>
        <w:tc>
          <w:tcPr>
            <w:tcW w:w="363" w:type="pct"/>
            <w:tcBorders>
              <w:tl2br w:val="nil"/>
              <w:tr2bl w:val="nil"/>
            </w:tcBorders>
            <w:vAlign w:val="center"/>
          </w:tcPr>
          <w:p w14:paraId="38BCEE25">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序号</w:t>
            </w:r>
          </w:p>
        </w:tc>
        <w:tc>
          <w:tcPr>
            <w:tcW w:w="671" w:type="pct"/>
            <w:tcBorders>
              <w:tl2br w:val="nil"/>
              <w:tr2bl w:val="nil"/>
            </w:tcBorders>
            <w:vAlign w:val="center"/>
          </w:tcPr>
          <w:p w14:paraId="4308C3FA">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企业</w:t>
            </w:r>
          </w:p>
          <w:p w14:paraId="4253330C">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名称</w:t>
            </w:r>
          </w:p>
        </w:tc>
        <w:tc>
          <w:tcPr>
            <w:tcW w:w="451" w:type="pct"/>
            <w:tcBorders>
              <w:tl2br w:val="nil"/>
              <w:tr2bl w:val="nil"/>
            </w:tcBorders>
            <w:vAlign w:val="center"/>
          </w:tcPr>
          <w:p w14:paraId="0CDA3C6A">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报告类型</w:t>
            </w:r>
          </w:p>
          <w:p w14:paraId="2B4C54F3">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（主体/协同方）</w:t>
            </w:r>
          </w:p>
        </w:tc>
        <w:tc>
          <w:tcPr>
            <w:tcW w:w="411" w:type="pct"/>
            <w:tcBorders>
              <w:tl2br w:val="nil"/>
              <w:tr2bl w:val="nil"/>
            </w:tcBorders>
            <w:vAlign w:val="center"/>
          </w:tcPr>
          <w:p w14:paraId="2A63A8B9">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股权关系</w:t>
            </w:r>
          </w:p>
        </w:tc>
        <w:tc>
          <w:tcPr>
            <w:tcW w:w="403" w:type="pct"/>
            <w:tcBorders>
              <w:tl2br w:val="nil"/>
              <w:tr2bl w:val="nil"/>
            </w:tcBorders>
            <w:vAlign w:val="center"/>
          </w:tcPr>
          <w:p w14:paraId="4C4C8EC2">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所属地区</w:t>
            </w:r>
          </w:p>
        </w:tc>
        <w:tc>
          <w:tcPr>
            <w:tcW w:w="1313" w:type="pct"/>
            <w:tcBorders>
              <w:tl2br w:val="nil"/>
              <w:tr2bl w:val="nil"/>
            </w:tcBorders>
            <w:vAlign w:val="center"/>
          </w:tcPr>
          <w:p w14:paraId="300D823E">
            <w:pPr>
              <w:snapToGrid w:val="0"/>
              <w:spacing w:line="240" w:lineRule="exact"/>
              <w:jc w:val="left"/>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企业现有经营范围</w:t>
            </w:r>
          </w:p>
        </w:tc>
        <w:tc>
          <w:tcPr>
            <w:tcW w:w="1023" w:type="pct"/>
            <w:tcBorders>
              <w:tl2br w:val="nil"/>
              <w:tr2bl w:val="nil"/>
            </w:tcBorders>
            <w:vAlign w:val="center"/>
          </w:tcPr>
          <w:p w14:paraId="114A4F3B">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多仓协同一体化管理仓库地址（自营仓库及共用仓库）</w:t>
            </w:r>
          </w:p>
        </w:tc>
        <w:tc>
          <w:tcPr>
            <w:tcW w:w="365" w:type="pct"/>
            <w:tcBorders>
              <w:tl2br w:val="nil"/>
              <w:tr2bl w:val="nil"/>
            </w:tcBorders>
            <w:vAlign w:val="center"/>
          </w:tcPr>
          <w:p w14:paraId="6ACE4194">
            <w:pPr>
              <w:snapToGrid w:val="0"/>
              <w:spacing w:line="240" w:lineRule="exact"/>
              <w:jc w:val="center"/>
              <w:rPr>
                <w:rFonts w:ascii="Times New Roman" w:eastAsia="宋体" w:cs="宋体"/>
                <w:b/>
                <w:snapToGrid w:val="0"/>
                <w:spacing w:val="31"/>
                <w:kern w:val="0"/>
                <w:sz w:val="20"/>
                <w:szCs w:val="21"/>
              </w:rPr>
            </w:pPr>
            <w:r>
              <w:rPr>
                <w:rFonts w:hint="eastAsia" w:ascii="Times New Roman" w:eastAsia="宋体" w:cs="宋体"/>
                <w:b/>
                <w:snapToGrid w:val="0"/>
                <w:spacing w:val="31"/>
                <w:kern w:val="0"/>
                <w:sz w:val="20"/>
                <w:szCs w:val="21"/>
              </w:rPr>
              <w:t>备注</w:t>
            </w:r>
          </w:p>
        </w:tc>
      </w:tr>
      <w:tr w14:paraId="046F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1630" w:hRule="atLeast"/>
          <w:jc w:val="center"/>
        </w:trPr>
        <w:tc>
          <w:tcPr>
            <w:tcW w:w="363" w:type="pct"/>
            <w:tcBorders>
              <w:tl2br w:val="nil"/>
              <w:tr2bl w:val="nil"/>
            </w:tcBorders>
            <w:vAlign w:val="center"/>
          </w:tcPr>
          <w:p w14:paraId="4EC97288">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1</w:t>
            </w:r>
          </w:p>
        </w:tc>
        <w:tc>
          <w:tcPr>
            <w:tcW w:w="671" w:type="pct"/>
            <w:tcBorders>
              <w:tl2br w:val="nil"/>
              <w:tr2bl w:val="nil"/>
            </w:tcBorders>
            <w:vAlign w:val="center"/>
          </w:tcPr>
          <w:p w14:paraId="213BB2F6">
            <w:pPr>
              <w:snapToGrid w:val="0"/>
              <w:spacing w:line="240" w:lineRule="exact"/>
              <w:jc w:val="center"/>
              <w:rPr>
                <w:rFonts w:ascii="Times New Roman" w:eastAsia="宋体" w:cs="宋体"/>
                <w:spacing w:val="5"/>
                <w:kern w:val="0"/>
                <w:sz w:val="20"/>
                <w:szCs w:val="21"/>
              </w:rPr>
            </w:pPr>
            <w:bookmarkStart w:id="0" w:name="OLE_LINK1"/>
            <w:r>
              <w:rPr>
                <w:rFonts w:hint="eastAsia" w:ascii="Times New Roman" w:eastAsia="宋体" w:cs="宋体"/>
                <w:spacing w:val="5"/>
                <w:kern w:val="0"/>
                <w:sz w:val="20"/>
                <w:szCs w:val="21"/>
              </w:rPr>
              <w:t>江苏XXX有限公司</w:t>
            </w:r>
            <w:bookmarkEnd w:id="0"/>
          </w:p>
        </w:tc>
        <w:tc>
          <w:tcPr>
            <w:tcW w:w="451" w:type="pct"/>
            <w:tcBorders>
              <w:tl2br w:val="nil"/>
              <w:tr2bl w:val="nil"/>
            </w:tcBorders>
            <w:vAlign w:val="center"/>
          </w:tcPr>
          <w:p w14:paraId="0A4D3BE5">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主体方</w:t>
            </w:r>
          </w:p>
        </w:tc>
        <w:tc>
          <w:tcPr>
            <w:tcW w:w="411" w:type="pct"/>
            <w:tcBorders>
              <w:tl2br w:val="nil"/>
              <w:tr2bl w:val="nil"/>
            </w:tcBorders>
            <w:vAlign w:val="center"/>
          </w:tcPr>
          <w:p w14:paraId="4FFF8054">
            <w:pPr>
              <w:snapToGrid w:val="0"/>
              <w:spacing w:line="240" w:lineRule="exact"/>
              <w:jc w:val="center"/>
              <w:rPr>
                <w:rFonts w:ascii="Times New Roman" w:eastAsia="宋体" w:cs="宋体"/>
                <w:snapToGrid w:val="0"/>
                <w:kern w:val="0"/>
                <w:sz w:val="20"/>
                <w:szCs w:val="21"/>
                <w:lang w:bidi="ar"/>
              </w:rPr>
            </w:pPr>
            <w:r>
              <w:rPr>
                <w:rFonts w:hint="eastAsia" w:ascii="Times New Roman" w:eastAsia="宋体" w:cs="宋体"/>
                <w:snapToGrid w:val="0"/>
                <w:kern w:val="0"/>
                <w:sz w:val="20"/>
                <w:szCs w:val="21"/>
                <w:lang w:bidi="ar"/>
              </w:rPr>
              <w:t>XX集团公司全资控股</w:t>
            </w:r>
          </w:p>
        </w:tc>
        <w:tc>
          <w:tcPr>
            <w:tcW w:w="403" w:type="pct"/>
            <w:tcBorders>
              <w:tl2br w:val="nil"/>
              <w:tr2bl w:val="nil"/>
            </w:tcBorders>
            <w:vAlign w:val="center"/>
          </w:tcPr>
          <w:p w14:paraId="17EB02F1">
            <w:pPr>
              <w:snapToGrid w:val="0"/>
              <w:spacing w:line="240" w:lineRule="exact"/>
              <w:jc w:val="center"/>
              <w:rPr>
                <w:rFonts w:ascii="Times New Roman" w:eastAsia="宋体" w:cs="宋体"/>
                <w:snapToGrid w:val="0"/>
                <w:kern w:val="0"/>
                <w:sz w:val="20"/>
                <w:szCs w:val="21"/>
                <w:lang w:bidi="ar"/>
              </w:rPr>
            </w:pPr>
            <w:r>
              <w:rPr>
                <w:rFonts w:hint="eastAsia" w:ascii="Times New Roman" w:eastAsia="宋体" w:cs="宋体"/>
                <w:snapToGrid w:val="0"/>
                <w:kern w:val="0"/>
                <w:sz w:val="20"/>
                <w:szCs w:val="21"/>
                <w:lang w:bidi="ar"/>
              </w:rPr>
              <w:t>南京</w:t>
            </w:r>
          </w:p>
        </w:tc>
        <w:tc>
          <w:tcPr>
            <w:tcW w:w="1313" w:type="pct"/>
            <w:tcBorders>
              <w:tl2br w:val="nil"/>
              <w:tr2bl w:val="nil"/>
            </w:tcBorders>
            <w:vAlign w:val="center"/>
          </w:tcPr>
          <w:p w14:paraId="2DDC84A9">
            <w:pPr>
              <w:snapToGrid w:val="0"/>
              <w:spacing w:line="240" w:lineRule="exact"/>
              <w:jc w:val="left"/>
              <w:rPr>
                <w:rFonts w:ascii="Times New Roman" w:eastAsia="宋体" w:cs="宋体"/>
                <w:spacing w:val="5"/>
                <w:kern w:val="0"/>
                <w:sz w:val="20"/>
                <w:szCs w:val="21"/>
              </w:rPr>
            </w:pPr>
            <w:r>
              <w:rPr>
                <w:rFonts w:hint="eastAsia" w:ascii="Times New Roman" w:eastAsia="宋体" w:cs="宋体"/>
                <w:snapToGrid w:val="0"/>
                <w:kern w:val="0"/>
                <w:sz w:val="20"/>
                <w:szCs w:val="21"/>
                <w:lang w:bidi="ar"/>
              </w:rPr>
              <w:t>中成药、中药饮片、化学药、生物制品、麻醉药品、第一类精神药品、第二类精神药品</w:t>
            </w:r>
            <w:r>
              <w:rPr>
                <w:rFonts w:hint="eastAsia" w:ascii="Times New Roman" w:eastAsia="宋体" w:cs="宋体"/>
                <w:kern w:val="0"/>
                <w:sz w:val="20"/>
                <w:szCs w:val="21"/>
                <w:lang w:bidi="ar"/>
              </w:rPr>
              <w:t>***</w:t>
            </w:r>
          </w:p>
        </w:tc>
        <w:tc>
          <w:tcPr>
            <w:tcW w:w="1023" w:type="pct"/>
            <w:tcBorders>
              <w:tl2br w:val="nil"/>
              <w:tr2bl w:val="nil"/>
            </w:tcBorders>
            <w:vAlign w:val="center"/>
          </w:tcPr>
          <w:p w14:paraId="7FDA0834">
            <w:pPr>
              <w:pStyle w:val="31"/>
              <w:numPr>
                <w:ilvl w:val="0"/>
                <w:numId w:val="1"/>
              </w:numPr>
              <w:snapToGrid w:val="0"/>
              <w:spacing w:line="240" w:lineRule="exact"/>
              <w:jc w:val="left"/>
              <w:rPr>
                <w:rFonts w:ascii="Times New Roman" w:eastAsia="宋体" w:cs="宋体"/>
                <w:spacing w:val="5"/>
                <w:kern w:val="0"/>
                <w:sz w:val="20"/>
                <w:szCs w:val="21"/>
              </w:rPr>
            </w:pPr>
            <w:r>
              <w:rPr>
                <w:rFonts w:hint="eastAsia" w:ascii="Times New Roman" w:eastAsia="宋体" w:cs="宋体"/>
                <w:spacing w:val="5"/>
                <w:kern w:val="0"/>
                <w:sz w:val="20"/>
                <w:szCs w:val="21"/>
              </w:rPr>
              <w:t>南京市XX区XX号；</w:t>
            </w:r>
          </w:p>
          <w:p w14:paraId="6A79B7A9">
            <w:pPr>
              <w:pStyle w:val="31"/>
              <w:numPr>
                <w:ilvl w:val="0"/>
                <w:numId w:val="1"/>
              </w:numPr>
              <w:snapToGrid w:val="0"/>
              <w:spacing w:line="240" w:lineRule="exact"/>
              <w:jc w:val="left"/>
              <w:rPr>
                <w:rFonts w:ascii="Times New Roman" w:eastAsia="宋体" w:cs="宋体"/>
                <w:spacing w:val="5"/>
                <w:kern w:val="0"/>
                <w:sz w:val="20"/>
                <w:szCs w:val="21"/>
              </w:rPr>
            </w:pPr>
            <w:r>
              <w:rPr>
                <w:rFonts w:hint="eastAsia" w:ascii="Times New Roman" w:eastAsia="宋体" w:cs="宋体"/>
                <w:spacing w:val="5"/>
                <w:kern w:val="0"/>
                <w:sz w:val="20"/>
                <w:szCs w:val="21"/>
              </w:rPr>
              <w:t>扬州XX区XX号XX幢一层；</w:t>
            </w:r>
          </w:p>
          <w:p w14:paraId="5A87C980">
            <w:pPr>
              <w:snapToGrid w:val="0"/>
              <w:spacing w:line="240" w:lineRule="exact"/>
              <w:jc w:val="left"/>
              <w:rPr>
                <w:rFonts w:ascii="Times New Roman" w:eastAsia="宋体" w:cs="宋体"/>
                <w:spacing w:val="5"/>
                <w:kern w:val="0"/>
                <w:sz w:val="20"/>
                <w:szCs w:val="21"/>
              </w:rPr>
            </w:pPr>
          </w:p>
        </w:tc>
        <w:tc>
          <w:tcPr>
            <w:tcW w:w="365" w:type="pct"/>
            <w:tcBorders>
              <w:tl2br w:val="nil"/>
              <w:tr2bl w:val="nil"/>
            </w:tcBorders>
            <w:vAlign w:val="center"/>
          </w:tcPr>
          <w:p w14:paraId="264A1E0D">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 xml:space="preserve"> </w:t>
            </w:r>
          </w:p>
        </w:tc>
      </w:tr>
      <w:tr w14:paraId="27FC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937" w:hRule="atLeast"/>
          <w:jc w:val="center"/>
        </w:trPr>
        <w:tc>
          <w:tcPr>
            <w:tcW w:w="363" w:type="pct"/>
            <w:tcBorders>
              <w:tl2br w:val="nil"/>
              <w:tr2bl w:val="nil"/>
            </w:tcBorders>
            <w:vAlign w:val="center"/>
          </w:tcPr>
          <w:p w14:paraId="48117ECD">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2</w:t>
            </w:r>
          </w:p>
        </w:tc>
        <w:tc>
          <w:tcPr>
            <w:tcW w:w="671" w:type="pct"/>
            <w:tcBorders>
              <w:tl2br w:val="nil"/>
              <w:tr2bl w:val="nil"/>
            </w:tcBorders>
            <w:vAlign w:val="center"/>
          </w:tcPr>
          <w:p w14:paraId="623A5384">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南京XXX有限公司</w:t>
            </w:r>
          </w:p>
        </w:tc>
        <w:tc>
          <w:tcPr>
            <w:tcW w:w="451" w:type="pct"/>
            <w:tcBorders>
              <w:tl2br w:val="nil"/>
              <w:tr2bl w:val="nil"/>
            </w:tcBorders>
            <w:vAlign w:val="center"/>
          </w:tcPr>
          <w:p w14:paraId="72A2CF02">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协同方</w:t>
            </w:r>
          </w:p>
        </w:tc>
        <w:tc>
          <w:tcPr>
            <w:tcW w:w="411" w:type="pct"/>
            <w:tcBorders>
              <w:tl2br w:val="nil"/>
              <w:tr2bl w:val="nil"/>
            </w:tcBorders>
            <w:vAlign w:val="center"/>
          </w:tcPr>
          <w:p w14:paraId="6AEC7AAE">
            <w:pPr>
              <w:snapToGrid w:val="0"/>
              <w:spacing w:line="240" w:lineRule="exact"/>
              <w:jc w:val="center"/>
              <w:rPr>
                <w:rFonts w:ascii="Times New Roman" w:eastAsia="宋体" w:cs="宋体"/>
                <w:snapToGrid w:val="0"/>
                <w:kern w:val="0"/>
                <w:sz w:val="20"/>
                <w:szCs w:val="21"/>
                <w:lang w:bidi="ar"/>
              </w:rPr>
            </w:pPr>
            <w:r>
              <w:rPr>
                <w:rFonts w:hint="eastAsia" w:ascii="Times New Roman" w:eastAsia="宋体" w:cs="宋体"/>
                <w:snapToGrid w:val="0"/>
                <w:kern w:val="0"/>
                <w:sz w:val="20"/>
                <w:szCs w:val="21"/>
                <w:lang w:bidi="ar"/>
              </w:rPr>
              <w:t>主体方直接控股，控股比例51%</w:t>
            </w:r>
          </w:p>
        </w:tc>
        <w:tc>
          <w:tcPr>
            <w:tcW w:w="403" w:type="pct"/>
            <w:tcBorders>
              <w:tl2br w:val="nil"/>
              <w:tr2bl w:val="nil"/>
            </w:tcBorders>
            <w:vAlign w:val="center"/>
          </w:tcPr>
          <w:p w14:paraId="0D2B6844">
            <w:pPr>
              <w:snapToGrid w:val="0"/>
              <w:spacing w:line="240" w:lineRule="exact"/>
              <w:jc w:val="center"/>
              <w:rPr>
                <w:rFonts w:ascii="Times New Roman" w:eastAsia="宋体" w:cs="宋体"/>
                <w:snapToGrid w:val="0"/>
                <w:kern w:val="0"/>
                <w:sz w:val="20"/>
                <w:szCs w:val="21"/>
                <w:lang w:bidi="ar"/>
              </w:rPr>
            </w:pPr>
            <w:r>
              <w:rPr>
                <w:rFonts w:hint="eastAsia" w:ascii="Times New Roman" w:eastAsia="宋体" w:cs="宋体"/>
                <w:snapToGrid w:val="0"/>
                <w:kern w:val="0"/>
                <w:sz w:val="20"/>
                <w:szCs w:val="21"/>
                <w:lang w:bidi="ar"/>
              </w:rPr>
              <w:t>南京</w:t>
            </w:r>
          </w:p>
        </w:tc>
        <w:tc>
          <w:tcPr>
            <w:tcW w:w="1313" w:type="pct"/>
            <w:tcBorders>
              <w:tl2br w:val="nil"/>
              <w:tr2bl w:val="nil"/>
            </w:tcBorders>
            <w:vAlign w:val="center"/>
          </w:tcPr>
          <w:p w14:paraId="554BA057">
            <w:pPr>
              <w:snapToGrid w:val="0"/>
              <w:spacing w:line="240" w:lineRule="exact"/>
              <w:jc w:val="left"/>
              <w:rPr>
                <w:rFonts w:ascii="Times New Roman" w:eastAsia="宋体" w:cs="宋体"/>
                <w:spacing w:val="5"/>
                <w:kern w:val="0"/>
                <w:sz w:val="20"/>
                <w:szCs w:val="21"/>
              </w:rPr>
            </w:pPr>
            <w:r>
              <w:rPr>
                <w:rFonts w:hint="eastAsia" w:ascii="Times New Roman" w:eastAsia="宋体" w:cs="宋体"/>
                <w:snapToGrid w:val="0"/>
                <w:kern w:val="0"/>
                <w:sz w:val="20"/>
                <w:szCs w:val="21"/>
                <w:lang w:bidi="ar"/>
              </w:rPr>
              <w:t>中成药、中药饮片、化学药、生物制品、……药品类易制毒化学品</w:t>
            </w:r>
            <w:r>
              <w:rPr>
                <w:rFonts w:hint="eastAsia" w:ascii="Times New Roman" w:eastAsia="宋体" w:cs="宋体"/>
                <w:kern w:val="0"/>
                <w:sz w:val="20"/>
                <w:szCs w:val="21"/>
                <w:lang w:bidi="ar"/>
              </w:rPr>
              <w:t>(</w:t>
            </w:r>
            <w:r>
              <w:rPr>
                <w:rFonts w:hint="eastAsia" w:ascii="Times New Roman" w:eastAsia="宋体" w:cs="宋体"/>
                <w:snapToGrid w:val="0"/>
                <w:kern w:val="0"/>
                <w:sz w:val="20"/>
                <w:szCs w:val="21"/>
                <w:lang w:bidi="ar"/>
              </w:rPr>
              <w:t>限单方制剂和小包装麻黄素</w:t>
            </w:r>
            <w:r>
              <w:rPr>
                <w:rFonts w:hint="eastAsia" w:ascii="Times New Roman" w:eastAsia="宋体" w:cs="宋体"/>
                <w:kern w:val="0"/>
                <w:sz w:val="20"/>
                <w:szCs w:val="21"/>
                <w:lang w:bidi="ar"/>
              </w:rPr>
              <w:t>)</w:t>
            </w:r>
            <w:r>
              <w:rPr>
                <w:rFonts w:hint="eastAsia" w:ascii="Times New Roman" w:eastAsia="宋体" w:cs="宋体"/>
                <w:snapToGrid w:val="0"/>
                <w:kern w:val="0"/>
                <w:sz w:val="20"/>
                <w:szCs w:val="21"/>
                <w:lang w:bidi="ar"/>
              </w:rPr>
              <w:t>（以上含冷藏、冷冻药品）</w:t>
            </w:r>
            <w:r>
              <w:rPr>
                <w:rFonts w:hint="eastAsia" w:ascii="Times New Roman" w:eastAsia="宋体" w:cs="宋体"/>
                <w:kern w:val="0"/>
                <w:sz w:val="20"/>
                <w:szCs w:val="21"/>
                <w:lang w:bidi="ar"/>
              </w:rPr>
              <w:t>***</w:t>
            </w:r>
          </w:p>
        </w:tc>
        <w:tc>
          <w:tcPr>
            <w:tcW w:w="1023" w:type="pct"/>
            <w:tcBorders>
              <w:tl2br w:val="nil"/>
              <w:tr2bl w:val="nil"/>
            </w:tcBorders>
            <w:vAlign w:val="center"/>
          </w:tcPr>
          <w:p w14:paraId="515306D1">
            <w:pPr>
              <w:pStyle w:val="31"/>
              <w:numPr>
                <w:ilvl w:val="0"/>
                <w:numId w:val="2"/>
              </w:numPr>
              <w:snapToGrid w:val="0"/>
              <w:spacing w:line="240" w:lineRule="exact"/>
              <w:jc w:val="left"/>
              <w:rPr>
                <w:rFonts w:ascii="Times New Roman" w:eastAsia="宋体" w:cs="宋体"/>
                <w:spacing w:val="5"/>
                <w:kern w:val="0"/>
                <w:sz w:val="20"/>
                <w:szCs w:val="21"/>
              </w:rPr>
            </w:pPr>
            <w:r>
              <w:rPr>
                <w:rFonts w:hint="eastAsia" w:ascii="Times New Roman" w:eastAsia="宋体" w:cs="宋体"/>
                <w:spacing w:val="5"/>
                <w:kern w:val="0"/>
                <w:sz w:val="20"/>
                <w:szCs w:val="21"/>
              </w:rPr>
              <w:t>南京市XX区XX号；</w:t>
            </w:r>
          </w:p>
        </w:tc>
        <w:tc>
          <w:tcPr>
            <w:tcW w:w="365" w:type="pct"/>
            <w:tcBorders>
              <w:tl2br w:val="nil"/>
              <w:tr2bl w:val="nil"/>
            </w:tcBorders>
            <w:vAlign w:val="center"/>
          </w:tcPr>
          <w:p w14:paraId="79395843">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 xml:space="preserve"> </w:t>
            </w:r>
          </w:p>
        </w:tc>
      </w:tr>
      <w:tr w14:paraId="5D7C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693" w:hRule="atLeast"/>
          <w:jc w:val="center"/>
        </w:trPr>
        <w:tc>
          <w:tcPr>
            <w:tcW w:w="363" w:type="pct"/>
            <w:tcBorders>
              <w:tl2br w:val="nil"/>
              <w:tr2bl w:val="nil"/>
            </w:tcBorders>
            <w:vAlign w:val="center"/>
          </w:tcPr>
          <w:p w14:paraId="0ADD761B">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3</w:t>
            </w:r>
          </w:p>
        </w:tc>
        <w:tc>
          <w:tcPr>
            <w:tcW w:w="671" w:type="pct"/>
            <w:tcBorders>
              <w:tl2br w:val="nil"/>
              <w:tr2bl w:val="nil"/>
            </w:tcBorders>
            <w:vAlign w:val="center"/>
          </w:tcPr>
          <w:p w14:paraId="6D08981D">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镇江XXX有限公司……</w:t>
            </w:r>
          </w:p>
        </w:tc>
        <w:tc>
          <w:tcPr>
            <w:tcW w:w="451" w:type="pct"/>
            <w:tcBorders>
              <w:tl2br w:val="nil"/>
              <w:tr2bl w:val="nil"/>
            </w:tcBorders>
            <w:vAlign w:val="center"/>
          </w:tcPr>
          <w:p w14:paraId="7DC0741D">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协同方</w:t>
            </w:r>
          </w:p>
        </w:tc>
        <w:tc>
          <w:tcPr>
            <w:tcW w:w="411" w:type="pct"/>
            <w:tcBorders>
              <w:tl2br w:val="nil"/>
              <w:tr2bl w:val="nil"/>
            </w:tcBorders>
            <w:vAlign w:val="center"/>
          </w:tcPr>
          <w:p w14:paraId="5B3365CF">
            <w:pPr>
              <w:snapToGrid w:val="0"/>
              <w:spacing w:line="240" w:lineRule="exact"/>
              <w:jc w:val="center"/>
              <w:rPr>
                <w:rFonts w:ascii="Times New Roman" w:eastAsia="宋体" w:cs="宋体"/>
                <w:spacing w:val="5"/>
                <w:kern w:val="0"/>
                <w:sz w:val="20"/>
                <w:szCs w:val="21"/>
              </w:rPr>
            </w:pPr>
            <w:r>
              <w:rPr>
                <w:rFonts w:hint="eastAsia" w:ascii="Times New Roman" w:eastAsia="宋体" w:cs="宋体"/>
                <w:snapToGrid w:val="0"/>
                <w:kern w:val="0"/>
                <w:sz w:val="20"/>
                <w:szCs w:val="21"/>
                <w:lang w:bidi="ar"/>
              </w:rPr>
              <w:t>主体方全资子公司</w:t>
            </w:r>
          </w:p>
        </w:tc>
        <w:tc>
          <w:tcPr>
            <w:tcW w:w="403" w:type="pct"/>
            <w:tcBorders>
              <w:tl2br w:val="nil"/>
              <w:tr2bl w:val="nil"/>
            </w:tcBorders>
            <w:vAlign w:val="center"/>
          </w:tcPr>
          <w:p w14:paraId="5DD597FB">
            <w:pPr>
              <w:snapToGrid w:val="0"/>
              <w:spacing w:line="240" w:lineRule="exact"/>
              <w:jc w:val="center"/>
              <w:rPr>
                <w:rFonts w:ascii="Times New Roman" w:eastAsia="宋体" w:cs="宋体"/>
                <w:snapToGrid w:val="0"/>
                <w:kern w:val="0"/>
                <w:sz w:val="20"/>
                <w:szCs w:val="21"/>
                <w:lang w:bidi="ar"/>
              </w:rPr>
            </w:pPr>
            <w:r>
              <w:rPr>
                <w:rFonts w:hint="eastAsia" w:ascii="Times New Roman" w:eastAsia="宋体" w:cs="宋体"/>
                <w:snapToGrid w:val="0"/>
                <w:kern w:val="0"/>
                <w:sz w:val="20"/>
                <w:szCs w:val="21"/>
                <w:lang w:bidi="ar"/>
              </w:rPr>
              <w:t>……</w:t>
            </w:r>
          </w:p>
        </w:tc>
        <w:tc>
          <w:tcPr>
            <w:tcW w:w="1313" w:type="pct"/>
            <w:tcBorders>
              <w:tl2br w:val="nil"/>
              <w:tr2bl w:val="nil"/>
            </w:tcBorders>
            <w:vAlign w:val="center"/>
          </w:tcPr>
          <w:p w14:paraId="66345398">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w:t>
            </w:r>
          </w:p>
        </w:tc>
        <w:tc>
          <w:tcPr>
            <w:tcW w:w="1023" w:type="pct"/>
            <w:tcBorders>
              <w:tl2br w:val="nil"/>
              <w:tr2bl w:val="nil"/>
            </w:tcBorders>
            <w:vAlign w:val="center"/>
          </w:tcPr>
          <w:p w14:paraId="0077DF24">
            <w:pPr>
              <w:pStyle w:val="31"/>
              <w:numPr>
                <w:ilvl w:val="0"/>
                <w:numId w:val="3"/>
              </w:numPr>
              <w:snapToGrid w:val="0"/>
              <w:spacing w:line="240" w:lineRule="exact"/>
              <w:jc w:val="left"/>
              <w:rPr>
                <w:rFonts w:ascii="Times New Roman" w:eastAsia="宋体" w:cs="宋体"/>
                <w:spacing w:val="5"/>
                <w:kern w:val="0"/>
                <w:sz w:val="20"/>
                <w:szCs w:val="21"/>
              </w:rPr>
            </w:pPr>
            <w:r>
              <w:rPr>
                <w:rFonts w:hint="eastAsia" w:ascii="Times New Roman" w:eastAsia="宋体" w:cs="宋体"/>
                <w:spacing w:val="5"/>
                <w:kern w:val="0"/>
                <w:sz w:val="20"/>
                <w:szCs w:val="21"/>
              </w:rPr>
              <w:t>镇江市XX路XX号（江苏XXX有限公司共用）</w:t>
            </w:r>
          </w:p>
        </w:tc>
        <w:tc>
          <w:tcPr>
            <w:tcW w:w="365" w:type="pct"/>
            <w:tcBorders>
              <w:tl2br w:val="nil"/>
              <w:tr2bl w:val="nil"/>
            </w:tcBorders>
            <w:vAlign w:val="center"/>
          </w:tcPr>
          <w:p w14:paraId="11B8114B">
            <w:pPr>
              <w:snapToGrid w:val="0"/>
              <w:spacing w:line="240" w:lineRule="exact"/>
              <w:jc w:val="center"/>
              <w:rPr>
                <w:rFonts w:ascii="Times New Roman" w:eastAsia="宋体" w:cs="宋体"/>
                <w:spacing w:val="5"/>
                <w:kern w:val="0"/>
                <w:sz w:val="20"/>
                <w:szCs w:val="21"/>
              </w:rPr>
            </w:pPr>
          </w:p>
        </w:tc>
      </w:tr>
      <w:tr w14:paraId="7379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569" w:hRule="atLeast"/>
          <w:jc w:val="center"/>
        </w:trPr>
        <w:tc>
          <w:tcPr>
            <w:tcW w:w="363" w:type="pct"/>
            <w:tcBorders>
              <w:tl2br w:val="nil"/>
              <w:tr2bl w:val="nil"/>
            </w:tcBorders>
            <w:vAlign w:val="center"/>
          </w:tcPr>
          <w:p w14:paraId="7CFD65D8">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w:t>
            </w:r>
          </w:p>
        </w:tc>
        <w:tc>
          <w:tcPr>
            <w:tcW w:w="671" w:type="pct"/>
            <w:tcBorders>
              <w:tl2br w:val="nil"/>
              <w:tr2bl w:val="nil"/>
            </w:tcBorders>
            <w:vAlign w:val="center"/>
          </w:tcPr>
          <w:p w14:paraId="203905B5">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w:t>
            </w:r>
          </w:p>
        </w:tc>
        <w:tc>
          <w:tcPr>
            <w:tcW w:w="451" w:type="pct"/>
            <w:tcBorders>
              <w:tl2br w:val="nil"/>
              <w:tr2bl w:val="nil"/>
            </w:tcBorders>
            <w:vAlign w:val="center"/>
          </w:tcPr>
          <w:p w14:paraId="469CBC82">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协同方</w:t>
            </w:r>
          </w:p>
        </w:tc>
        <w:tc>
          <w:tcPr>
            <w:tcW w:w="411" w:type="pct"/>
            <w:tcBorders>
              <w:tl2br w:val="nil"/>
              <w:tr2bl w:val="nil"/>
            </w:tcBorders>
            <w:vAlign w:val="center"/>
          </w:tcPr>
          <w:p w14:paraId="05F89335">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w:t>
            </w:r>
          </w:p>
        </w:tc>
        <w:tc>
          <w:tcPr>
            <w:tcW w:w="403" w:type="pct"/>
            <w:tcBorders>
              <w:tl2br w:val="nil"/>
              <w:tr2bl w:val="nil"/>
            </w:tcBorders>
            <w:vAlign w:val="center"/>
          </w:tcPr>
          <w:p w14:paraId="2C3412C6">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w:t>
            </w:r>
          </w:p>
        </w:tc>
        <w:tc>
          <w:tcPr>
            <w:tcW w:w="1313" w:type="pct"/>
            <w:tcBorders>
              <w:tl2br w:val="nil"/>
              <w:tr2bl w:val="nil"/>
            </w:tcBorders>
            <w:vAlign w:val="center"/>
          </w:tcPr>
          <w:p w14:paraId="64C10A72">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w:t>
            </w:r>
          </w:p>
        </w:tc>
        <w:tc>
          <w:tcPr>
            <w:tcW w:w="1023" w:type="pct"/>
            <w:tcBorders>
              <w:tl2br w:val="nil"/>
              <w:tr2bl w:val="nil"/>
            </w:tcBorders>
            <w:vAlign w:val="center"/>
          </w:tcPr>
          <w:p w14:paraId="5CBAB36B">
            <w:pPr>
              <w:snapToGrid w:val="0"/>
              <w:spacing w:line="240" w:lineRule="exact"/>
              <w:jc w:val="center"/>
              <w:rPr>
                <w:rFonts w:ascii="Times New Roman" w:eastAsia="宋体" w:cs="宋体"/>
                <w:spacing w:val="5"/>
                <w:kern w:val="0"/>
                <w:sz w:val="20"/>
                <w:szCs w:val="21"/>
              </w:rPr>
            </w:pPr>
            <w:r>
              <w:rPr>
                <w:rFonts w:hint="eastAsia" w:ascii="Times New Roman" w:eastAsia="宋体" w:cs="宋体"/>
                <w:spacing w:val="5"/>
                <w:kern w:val="0"/>
                <w:sz w:val="20"/>
                <w:szCs w:val="21"/>
              </w:rPr>
              <w:t>……</w:t>
            </w:r>
          </w:p>
        </w:tc>
        <w:tc>
          <w:tcPr>
            <w:tcW w:w="365" w:type="pct"/>
            <w:tcBorders>
              <w:tl2br w:val="nil"/>
              <w:tr2bl w:val="nil"/>
            </w:tcBorders>
            <w:vAlign w:val="center"/>
          </w:tcPr>
          <w:p w14:paraId="01820151">
            <w:pPr>
              <w:snapToGrid w:val="0"/>
              <w:spacing w:line="240" w:lineRule="exact"/>
              <w:jc w:val="center"/>
              <w:rPr>
                <w:rFonts w:ascii="Times New Roman" w:eastAsia="宋体" w:cs="宋体"/>
                <w:spacing w:val="5"/>
                <w:kern w:val="0"/>
                <w:sz w:val="20"/>
                <w:szCs w:val="21"/>
              </w:rPr>
            </w:pPr>
          </w:p>
        </w:tc>
      </w:tr>
    </w:tbl>
    <w:p w14:paraId="0BCEB656">
      <w:pPr>
        <w:snapToGrid w:val="0"/>
        <w:spacing w:line="240" w:lineRule="exact"/>
        <w:ind w:firstLine="230" w:firstLineChars="100"/>
        <w:jc w:val="left"/>
        <w:rPr>
          <w:rFonts w:ascii="Times New Roman" w:cs="宋体"/>
          <w:spacing w:val="5"/>
          <w:sz w:val="22"/>
          <w:szCs w:val="24"/>
        </w:rPr>
      </w:pPr>
    </w:p>
    <w:p w14:paraId="1435B791">
      <w:pPr>
        <w:snapToGrid w:val="0"/>
        <w:spacing w:line="240" w:lineRule="exact"/>
        <w:ind w:firstLine="230" w:firstLineChars="100"/>
        <w:jc w:val="left"/>
        <w:rPr>
          <w:rFonts w:ascii="Times New Roman" w:eastAsia="宋体" w:cs="宋体"/>
          <w:spacing w:val="5"/>
          <w:kern w:val="0"/>
          <w:sz w:val="22"/>
          <w:szCs w:val="24"/>
        </w:rPr>
      </w:pPr>
      <w:r>
        <w:rPr>
          <w:rFonts w:hint="eastAsia" w:ascii="Times New Roman" w:eastAsia="宋体" w:cs="宋体"/>
          <w:spacing w:val="5"/>
          <w:kern w:val="0"/>
          <w:sz w:val="22"/>
          <w:szCs w:val="24"/>
        </w:rPr>
        <w:t>*特殊药品、</w:t>
      </w:r>
      <w:r>
        <w:rPr>
          <w:rFonts w:hint="eastAsia" w:ascii="Times New Roman" w:eastAsia="宋体"/>
          <w:kern w:val="0"/>
          <w:sz w:val="22"/>
        </w:rPr>
        <w:t>受托储运药品</w:t>
      </w:r>
      <w:r>
        <w:rPr>
          <w:rFonts w:hint="eastAsia" w:ascii="Times New Roman" w:eastAsia="宋体" w:cs="宋体"/>
          <w:spacing w:val="5"/>
          <w:kern w:val="0"/>
          <w:sz w:val="22"/>
          <w:szCs w:val="24"/>
        </w:rPr>
        <w:t>不纳入多仓协同一体化管理。</w:t>
      </w:r>
    </w:p>
    <w:p w14:paraId="77C4BC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方正黑体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C81A66"/>
    <w:multiLevelType w:val="multilevel"/>
    <w:tmpl w:val="30C81A66"/>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E691A80"/>
    <w:multiLevelType w:val="multilevel"/>
    <w:tmpl w:val="5E691A80"/>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7EF12F9C"/>
    <w:multiLevelType w:val="multilevel"/>
    <w:tmpl w:val="7EF12F9C"/>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73C"/>
    <w:rsid w:val="000E7382"/>
    <w:rsid w:val="0045440E"/>
    <w:rsid w:val="00686BEA"/>
    <w:rsid w:val="0074073C"/>
    <w:rsid w:val="00815CEF"/>
    <w:rsid w:val="00A55E13"/>
    <w:rsid w:val="00A76D74"/>
    <w:rsid w:val="00A95AEF"/>
    <w:rsid w:val="00B706D3"/>
    <w:rsid w:val="00C61BF1"/>
    <w:rsid w:val="33941A2F"/>
    <w:rsid w:val="60800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Times New Roman" w:eastAsia="等线" w:cs="Arial"/>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36"/>
    <w:unhideWhenUsed/>
    <w:uiPriority w:val="99"/>
    <w:pP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uiPriority w:val="9"/>
    <w:rPr>
      <w:rFonts w:cstheme="majorBidi"/>
      <w:color w:val="104862" w:themeColor="accent1" w:themeShade="BF"/>
      <w:sz w:val="28"/>
      <w:szCs w:val="28"/>
    </w:rPr>
  </w:style>
  <w:style w:type="character" w:customStyle="1" w:styleId="22">
    <w:name w:val="标题 5 字符"/>
    <w:basedOn w:val="17"/>
    <w:link w:val="6"/>
    <w:semiHidden/>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rFonts w:asciiTheme="minorHAnsi" w:hAnsiTheme="minorHAnsi" w:eastAsiaTheme="minorEastAsia" w:cstheme="minorBidi"/>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rPr>
      <w:rFonts w:asciiTheme="minorHAnsi" w:hAnsiTheme="minorHAnsi" w:eastAsiaTheme="minorEastAsia" w:cstheme="minorBidi"/>
    </w:r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EastAsia" w:cstheme="minorBidi"/>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4445</Words>
  <Characters>4489</Characters>
  <Lines>169</Lines>
  <Paragraphs>107</Paragraphs>
  <TotalTime>103</TotalTime>
  <ScaleCrop>false</ScaleCrop>
  <LinksUpToDate>false</LinksUpToDate>
  <CharactersWithSpaces>4606</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2026-09-21T01:26:00Z</dcterms:created>
  <dc:creator>158219503@qq.com</dc:creator>
  <cp:lastModifiedBy>一辈子</cp:lastModifiedBy>
  <cp:lastPrinted>2026-09-21T01:30:00Z</cp:lastPrinted>
  <dcterms:modified xsi:type="dcterms:W3CDTF">2026-10-08T07:04:17Z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347733C557054B43AE872A80BD21A775_13</vt:lpwstr>
  </property>
</Properties>
</file>