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A849EC">
      <w:pPr>
        <w:spacing w:line="400" w:lineRule="exac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附件2</w:t>
      </w:r>
    </w:p>
    <w:p w14:paraId="7ED46882">
      <w:pPr>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rPr>
        <w:t>起草说明</w:t>
      </w:r>
    </w:p>
    <w:p w14:paraId="5C67DFA6">
      <w:pPr>
        <w:ind w:firstLine="640" w:firstLineChars="200"/>
        <w:rPr>
          <w:rFonts w:hint="eastAsia" w:ascii="仿宋_GB2312" w:hAnsi="仿宋_GB2312" w:eastAsia="仿宋_GB2312" w:cs="仿宋_GB2312"/>
          <w:kern w:val="0"/>
          <w:sz w:val="32"/>
          <w:szCs w:val="32"/>
        </w:rPr>
      </w:pPr>
      <w:r>
        <w:rPr>
          <w:rFonts w:hint="eastAsia" w:ascii="方正黑体_GBK" w:hAnsi="方正黑体_GBK" w:eastAsia="方正黑体_GBK" w:cs="方正黑体_GBK"/>
          <w:kern w:val="0"/>
          <w:sz w:val="32"/>
          <w:szCs w:val="32"/>
        </w:rPr>
        <w:t>一、起草背景</w:t>
      </w:r>
    </w:p>
    <w:p w14:paraId="17B93657">
      <w:pPr>
        <w:ind w:firstLine="640" w:firstLineChars="2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2025年4月30日，江苏省市场监管局牵头印发长三角市场监管一体化发展 2025 年工作要点。其中，建立长三角地区药品监管轻微违法行为免予处罚清单为长三角市场监管一体化发展 2025 年度合作事项,我局为牵头单位。</w:t>
      </w:r>
    </w:p>
    <w:p w14:paraId="117712F3">
      <w:pPr>
        <w:ind w:firstLine="640" w:firstLineChars="200"/>
        <w:rPr>
          <w:rFonts w:hint="eastAsia" w:ascii="方正黑体_GBK" w:hAnsi="方正黑体_GBK" w:eastAsia="方正黑体_GBK" w:cs="方正黑体_GBK"/>
          <w:kern w:val="0"/>
          <w:sz w:val="32"/>
          <w:szCs w:val="32"/>
        </w:rPr>
      </w:pPr>
      <w:r>
        <w:rPr>
          <w:rFonts w:hint="eastAsia" w:ascii="方正黑体_GBK" w:hAnsi="方正黑体_GBK" w:eastAsia="方正黑体_GBK" w:cs="方正黑体_GBK"/>
          <w:kern w:val="0"/>
          <w:sz w:val="32"/>
          <w:szCs w:val="32"/>
        </w:rPr>
        <w:t>二、起草过程</w:t>
      </w:r>
    </w:p>
    <w:p w14:paraId="7545E82E">
      <w:pPr>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为有序推进免罚清单的制定工作,我局组织召开长三角地区药品监管轻微违法行为免予处罚清单起草工作研讨会议，充分研究免罚清单具体草拟事宜，并达成“成熟一条、出台一条”的原则。据此，我局起草了《不予处罚清单》（征求意见稿），并征求</w:t>
      </w:r>
      <w:r>
        <w:rPr>
          <w:rFonts w:hint="eastAsia" w:ascii="仿宋_GB2312" w:hAnsi="仿宋_GB2312" w:eastAsia="仿宋_GB2312" w:cs="仿宋_GB2312"/>
          <w:sz w:val="32"/>
          <w:szCs w:val="32"/>
        </w:rPr>
        <w:t>上海市、江苏省、浙江省药品监管局意见。</w:t>
      </w:r>
    </w:p>
    <w:p w14:paraId="4088E7FF">
      <w:pPr>
        <w:ind w:firstLine="640" w:firstLineChars="200"/>
        <w:rPr>
          <w:rFonts w:hint="eastAsia" w:ascii="仿宋_GB2312" w:hAnsi="仿宋_GB2312" w:eastAsia="仿宋_GB2312" w:cs="仿宋_GB2312"/>
          <w:kern w:val="0"/>
          <w:sz w:val="32"/>
          <w:szCs w:val="32"/>
        </w:rPr>
      </w:pPr>
      <w:r>
        <w:rPr>
          <w:rFonts w:hint="eastAsia" w:ascii="方正黑体_GBK" w:hAnsi="方正黑体_GBK" w:eastAsia="方正黑体_GBK" w:cs="方正黑体_GBK"/>
          <w:kern w:val="0"/>
          <w:sz w:val="32"/>
          <w:szCs w:val="32"/>
        </w:rPr>
        <w:t>三、主要内容</w:t>
      </w:r>
    </w:p>
    <w:p w14:paraId="3052743C">
      <w:pPr>
        <w:ind w:firstLine="640" w:firstLineChars="200"/>
        <w:rPr>
          <w:rFonts w:hint="eastAsia"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《不予处罚清单》规定的不予处罚事项共5项，</w:t>
      </w:r>
      <w:r>
        <w:rPr>
          <w:rFonts w:hint="eastAsia" w:ascii="仿宋_GB2312" w:hAnsi="仿宋_GB2312" w:eastAsia="仿宋_GB2312" w:cs="仿宋_GB2312"/>
          <w:sz w:val="32"/>
          <w:szCs w:val="32"/>
        </w:rPr>
        <w:t>涵盖药品、医疗器械、化妆品监管领域，每个</w:t>
      </w:r>
      <w:r>
        <w:rPr>
          <w:rFonts w:hint="eastAsia" w:ascii="仿宋_GB2312" w:hAnsi="仿宋_GB2312" w:eastAsia="仿宋_GB2312" w:cs="仿宋_GB2312"/>
          <w:kern w:val="0"/>
          <w:sz w:val="32"/>
          <w:szCs w:val="32"/>
        </w:rPr>
        <w:t>不予处罚事项均规定了违法行为类型、处罚依据和免罚条件。</w:t>
      </w:r>
      <w:r>
        <w:rPr>
          <w:rFonts w:hint="eastAsia" w:ascii="仿宋_GB2312" w:hAnsi="仿宋_GB2312" w:eastAsia="仿宋_GB2312" w:cs="仿宋_GB2312"/>
          <w:sz w:val="32"/>
          <w:szCs w:val="32"/>
        </w:rPr>
        <w:t xml:space="preserve">其中：违反药品监管规定的事项2项，分别为“药品经营企业以药食同源的食品作为药品销售”“药品经营企业、医疗机构未按照规定报告疑似药品不良反应”；违反医疗器械监管规定的事项1项，为“医疗器械拆零销售未附说明书”；违反化妆品监管规定的免罚事项2项，分别为“宾馆等住宿业经营者擅自配制化妆品”“化妆品生产经营者不按照强制性国家标准或者技术规范使用原料”。 </w:t>
      </w:r>
    </w:p>
    <w:p w14:paraId="599F6033">
      <w:pPr>
        <w:widowControl/>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药品经营企业以药食同源的食品作为药品销售”“医疗器械拆零销售未附说明书”事项来源于《江苏省市场监管领域轻微违法行为不予处罚清单》。“宾馆等住宿业经营者擅自配制化妆品”事项参照《北京市化妆品监管领域违法行为包容免罚清单（试行）》，并结合实际进行了调整。“化妆品生产经营者不按照强制性国家标准或者技术规范使用原料”事项来源于《上海市市场监管领域不予行政处罚清单》。“药品经营企业、医疗机构未按照规定报告疑似药品不良反应”事项来源于《浙江省药品监管领域首违不罚清单》（征求意见稿）、《安徽省药品监管领域轻微违法行为免予处罚清单》。</w:t>
      </w:r>
    </w:p>
    <w:p w14:paraId="43151FD4">
      <w:bookmarkStart w:id="0" w:name="_GoBack"/>
      <w:bookmarkEnd w:id="0"/>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方正黑体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50291B"/>
    <w:rsid w:val="0650291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2025-09-02T07:45:00Z</dcterms:created>
  <dc:creator>一辈子</dc:creator>
  <cp:lastModifiedBy>一辈子</cp:lastModifiedBy>
  <dcterms:modified xsi:type="dcterms:W3CDTF">2025-09-02T07:46:52Z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B2F59643CA994D51BBE91AB2B7DEC796_11</vt:lpwstr>
  </property>
  <property fmtid="{D5CDD505-2E9C-101B-9397-08002B2CF9AE}" pid="4" name="KSOTemplateDocerSaveRecord">
    <vt:lpwstr>eyJoZGlkIjoiZDZhOTk3NzA4NzU0NTkyNzc4NWRhZDAzZWFiNzgyZmIiLCJ1c2VySWQiOiIyODA4OTkxNzYifQ==</vt:lpwstr>
  </property>
</Properties>
</file>